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9D" w:rsidRDefault="00AB2F9D" w:rsidP="00D40FC5">
      <w:pPr>
        <w:pStyle w:val="Paragrafoelenco"/>
        <w:spacing w:afterLines="200" w:line="360" w:lineRule="auto"/>
        <w:ind w:left="0" w:firstLine="708"/>
        <w:jc w:val="right"/>
        <w:rPr>
          <w:b/>
          <w:lang w:val="en-US"/>
        </w:rPr>
      </w:pPr>
    </w:p>
    <w:p w:rsidR="005D1A4C" w:rsidRDefault="005D1A4C" w:rsidP="00D40FC5">
      <w:pPr>
        <w:pStyle w:val="Paragrafoelenco"/>
        <w:spacing w:afterLines="200" w:line="360" w:lineRule="auto"/>
        <w:ind w:left="0" w:firstLine="708"/>
        <w:jc w:val="right"/>
        <w:rPr>
          <w:b/>
          <w:lang w:val="en-US"/>
        </w:rPr>
      </w:pPr>
    </w:p>
    <w:p w:rsidR="00D40FC5" w:rsidRDefault="00D40FC5" w:rsidP="00D40FC5">
      <w:pPr>
        <w:pStyle w:val="Paragrafoelenco"/>
        <w:spacing w:afterLines="200" w:line="360" w:lineRule="auto"/>
        <w:ind w:left="0" w:firstLine="708"/>
        <w:jc w:val="right"/>
        <w:rPr>
          <w:b/>
          <w:lang w:val="en-US"/>
        </w:rPr>
      </w:pPr>
    </w:p>
    <w:p w:rsidR="00AB2F9D" w:rsidRDefault="00AB2F9D" w:rsidP="00D40FC5">
      <w:pPr>
        <w:pStyle w:val="Paragrafoelenco"/>
        <w:spacing w:afterLines="200" w:line="360" w:lineRule="auto"/>
        <w:ind w:left="0" w:firstLine="708"/>
        <w:jc w:val="right"/>
        <w:rPr>
          <w:b/>
          <w:lang w:val="en-US"/>
        </w:rPr>
      </w:pPr>
    </w:p>
    <w:p w:rsidR="00D55BAF" w:rsidRPr="00D55BAF" w:rsidRDefault="00D55BAF" w:rsidP="00D40FC5">
      <w:pPr>
        <w:pStyle w:val="Paragrafoelenco"/>
        <w:spacing w:afterLines="200" w:line="360" w:lineRule="auto"/>
        <w:ind w:left="0" w:firstLine="708"/>
        <w:jc w:val="center"/>
        <w:rPr>
          <w:b/>
          <w:lang w:val="en-US"/>
        </w:rPr>
      </w:pPr>
      <w:r w:rsidRPr="00D55BAF">
        <w:rPr>
          <w:b/>
          <w:lang w:val="en-US"/>
        </w:rPr>
        <w:t xml:space="preserve">Corporate </w:t>
      </w:r>
      <w:r>
        <w:rPr>
          <w:b/>
          <w:lang w:val="en-US"/>
        </w:rPr>
        <w:t>G</w:t>
      </w:r>
      <w:r w:rsidRPr="00D55BAF">
        <w:rPr>
          <w:b/>
          <w:lang w:val="en-US"/>
        </w:rPr>
        <w:t>overnance</w:t>
      </w:r>
      <w:r>
        <w:rPr>
          <w:b/>
          <w:lang w:val="en-US"/>
        </w:rPr>
        <w:t xml:space="preserve"> </w:t>
      </w:r>
      <w:r w:rsidRPr="00D55BAF">
        <w:rPr>
          <w:b/>
          <w:lang w:val="en-US"/>
        </w:rPr>
        <w:t>Sound Practices:</w:t>
      </w:r>
    </w:p>
    <w:p w:rsidR="00D55BAF" w:rsidRPr="00D55BAF" w:rsidRDefault="00D55BAF" w:rsidP="00D40FC5">
      <w:pPr>
        <w:pStyle w:val="Paragrafoelenco"/>
        <w:spacing w:afterLines="200" w:line="360" w:lineRule="auto"/>
        <w:ind w:left="0" w:firstLine="708"/>
        <w:jc w:val="center"/>
        <w:rPr>
          <w:b/>
          <w:lang w:val="en-US"/>
        </w:rPr>
      </w:pPr>
      <w:r w:rsidRPr="00D55BAF">
        <w:rPr>
          <w:b/>
          <w:lang w:val="en-US"/>
        </w:rPr>
        <w:t>A Case for Financial Markets Stability</w:t>
      </w:r>
    </w:p>
    <w:p w:rsidR="00D55BAF" w:rsidRPr="00D55BAF" w:rsidRDefault="00D55BAF" w:rsidP="00D40FC5">
      <w:pPr>
        <w:pStyle w:val="Paragrafoelenco"/>
        <w:spacing w:afterLines="200" w:line="360" w:lineRule="auto"/>
        <w:ind w:left="0" w:firstLine="708"/>
        <w:jc w:val="center"/>
        <w:rPr>
          <w:sz w:val="22"/>
          <w:lang w:val="en-US"/>
        </w:rPr>
      </w:pPr>
      <w:r w:rsidRPr="00D55BAF">
        <w:rPr>
          <w:sz w:val="22"/>
          <w:lang w:val="en-US"/>
        </w:rPr>
        <w:t>February 2nd, 2013 Kuwait</w:t>
      </w:r>
    </w:p>
    <w:p w:rsidR="00D55BAF" w:rsidRDefault="00D55BAF" w:rsidP="00D40FC5">
      <w:pPr>
        <w:pStyle w:val="Paragrafoelenco"/>
        <w:spacing w:afterLines="200" w:line="360" w:lineRule="auto"/>
        <w:ind w:left="0" w:firstLine="708"/>
        <w:jc w:val="center"/>
        <w:rPr>
          <w:b/>
          <w:lang w:val="en-US"/>
        </w:rPr>
      </w:pPr>
    </w:p>
    <w:p w:rsidR="004E5840" w:rsidRPr="008D356A" w:rsidRDefault="00E20468" w:rsidP="00D40FC5">
      <w:pPr>
        <w:pStyle w:val="Paragrafoelenco"/>
        <w:spacing w:afterLines="200" w:line="360" w:lineRule="auto"/>
        <w:ind w:left="0" w:firstLine="708"/>
        <w:jc w:val="center"/>
        <w:rPr>
          <w:b/>
          <w:lang w:val="en-US"/>
        </w:rPr>
      </w:pPr>
      <w:r w:rsidRPr="008D356A">
        <w:rPr>
          <w:b/>
          <w:lang w:val="en-US"/>
        </w:rPr>
        <w:t>Corporate governance</w:t>
      </w:r>
      <w:r w:rsidR="008D356A">
        <w:rPr>
          <w:b/>
          <w:lang w:val="en-US"/>
        </w:rPr>
        <w:t>: challenges and opportunities</w:t>
      </w:r>
    </w:p>
    <w:p w:rsidR="00F133D9" w:rsidRDefault="00F133D9" w:rsidP="00D40FC5">
      <w:pPr>
        <w:pStyle w:val="Paragrafoelenco"/>
        <w:spacing w:afterLines="200" w:line="360" w:lineRule="auto"/>
        <w:ind w:left="1440"/>
        <w:jc w:val="both"/>
        <w:rPr>
          <w:b/>
          <w:lang w:val="en-US"/>
        </w:rPr>
      </w:pPr>
    </w:p>
    <w:p w:rsidR="00E00D33" w:rsidRPr="000442C4" w:rsidRDefault="00E00D33" w:rsidP="00D40FC5">
      <w:pPr>
        <w:pStyle w:val="Paragrafoelenco"/>
        <w:spacing w:afterLines="200" w:line="360" w:lineRule="auto"/>
        <w:ind w:left="1440"/>
        <w:jc w:val="both"/>
        <w:rPr>
          <w:b/>
          <w:lang w:val="en-US"/>
        </w:rPr>
      </w:pPr>
    </w:p>
    <w:p w:rsidR="004E74A3" w:rsidRPr="000442C4" w:rsidRDefault="004E74A3" w:rsidP="00D40FC5">
      <w:pPr>
        <w:pStyle w:val="Paragrafoelenco"/>
        <w:numPr>
          <w:ilvl w:val="0"/>
          <w:numId w:val="10"/>
        </w:numPr>
        <w:spacing w:afterLines="200" w:line="360" w:lineRule="auto"/>
        <w:jc w:val="both"/>
        <w:rPr>
          <w:b/>
          <w:lang w:val="en-US"/>
        </w:rPr>
      </w:pPr>
      <w:r w:rsidRPr="000442C4">
        <w:rPr>
          <w:b/>
          <w:lang w:val="en-US"/>
        </w:rPr>
        <w:t>Introduction</w:t>
      </w:r>
    </w:p>
    <w:p w:rsidR="004E74A3" w:rsidRPr="000442C4" w:rsidRDefault="004E74A3" w:rsidP="00D40FC5">
      <w:pPr>
        <w:pStyle w:val="Paragrafoelenco"/>
        <w:spacing w:afterLines="200" w:line="360" w:lineRule="auto"/>
        <w:jc w:val="both"/>
        <w:rPr>
          <w:b/>
          <w:lang w:val="en-US"/>
        </w:rPr>
      </w:pPr>
    </w:p>
    <w:p w:rsidR="00093840" w:rsidRDefault="00093840" w:rsidP="00D40FC5">
      <w:pPr>
        <w:pStyle w:val="Paragrafoelenco"/>
        <w:spacing w:afterLines="200" w:line="360" w:lineRule="auto"/>
        <w:jc w:val="both"/>
        <w:rPr>
          <w:lang w:val="en-US"/>
        </w:rPr>
      </w:pPr>
      <w:r w:rsidRPr="00093840">
        <w:rPr>
          <w:lang w:val="en-US"/>
        </w:rPr>
        <w:t xml:space="preserve">The term corporate governance derives from an </w:t>
      </w:r>
      <w:r w:rsidR="004E5840">
        <w:rPr>
          <w:lang w:val="en-US"/>
        </w:rPr>
        <w:t>“</w:t>
      </w:r>
      <w:r w:rsidRPr="00093840">
        <w:rPr>
          <w:lang w:val="en-US"/>
        </w:rPr>
        <w:t>analogy between the government of cities,</w:t>
      </w:r>
      <w:r>
        <w:rPr>
          <w:lang w:val="en-US"/>
        </w:rPr>
        <w:t xml:space="preserve"> </w:t>
      </w:r>
      <w:r w:rsidRPr="00093840">
        <w:rPr>
          <w:lang w:val="en-US"/>
        </w:rPr>
        <w:t>nations or states and the governance of corporations</w:t>
      </w:r>
      <w:r w:rsidR="00BA4427">
        <w:rPr>
          <w:lang w:val="en-US"/>
        </w:rPr>
        <w:t>”</w:t>
      </w:r>
      <w:r w:rsidR="00BA4427" w:rsidRPr="00BA4427">
        <w:rPr>
          <w:lang w:val="en-US"/>
        </w:rPr>
        <w:t xml:space="preserve"> </w:t>
      </w:r>
      <w:r w:rsidR="00BA4427">
        <w:rPr>
          <w:lang w:val="en-US"/>
        </w:rPr>
        <w:t>[</w:t>
      </w:r>
      <w:proofErr w:type="spellStart"/>
      <w:r w:rsidR="00BA4427" w:rsidRPr="00BA4427">
        <w:rPr>
          <w:lang w:val="en-US"/>
        </w:rPr>
        <w:t>Becht</w:t>
      </w:r>
      <w:proofErr w:type="spellEnd"/>
      <w:r w:rsidR="00BA4427" w:rsidRPr="00BA4427">
        <w:rPr>
          <w:lang w:val="en-US"/>
        </w:rPr>
        <w:t xml:space="preserve">, Bolton and </w:t>
      </w:r>
      <w:proofErr w:type="spellStart"/>
      <w:r w:rsidR="00BA4427" w:rsidRPr="00BA4427">
        <w:rPr>
          <w:lang w:val="en-US"/>
        </w:rPr>
        <w:t>Röell</w:t>
      </w:r>
      <w:proofErr w:type="spellEnd"/>
      <w:r w:rsidR="00BA4427">
        <w:rPr>
          <w:lang w:val="en-US"/>
        </w:rPr>
        <w:t>,</w:t>
      </w:r>
      <w:r w:rsidR="00BA4427" w:rsidRPr="00BA4427">
        <w:rPr>
          <w:lang w:val="en-US"/>
        </w:rPr>
        <w:t xml:space="preserve"> 2005</w:t>
      </w:r>
      <w:r w:rsidR="00BA4427">
        <w:rPr>
          <w:lang w:val="en-US"/>
        </w:rPr>
        <w:t>]</w:t>
      </w:r>
      <w:r w:rsidRPr="00093840">
        <w:rPr>
          <w:lang w:val="en-US"/>
        </w:rPr>
        <w:t>.</w:t>
      </w:r>
      <w:r>
        <w:rPr>
          <w:lang w:val="en-US"/>
        </w:rPr>
        <w:t xml:space="preserve"> </w:t>
      </w:r>
      <w:r w:rsidRPr="00093840">
        <w:rPr>
          <w:lang w:val="en-US"/>
        </w:rPr>
        <w:t>The early corporate finance textbooks saw</w:t>
      </w:r>
      <w:r>
        <w:rPr>
          <w:lang w:val="en-US"/>
        </w:rPr>
        <w:t xml:space="preserve"> </w:t>
      </w:r>
      <w:r w:rsidRPr="00093840">
        <w:rPr>
          <w:lang w:val="en-US"/>
        </w:rPr>
        <w:t>“re</w:t>
      </w:r>
      <w:r w:rsidR="00BA4427">
        <w:rPr>
          <w:lang w:val="en-US"/>
        </w:rPr>
        <w:t xml:space="preserve">presentative government” [Mead, </w:t>
      </w:r>
      <w:r w:rsidRPr="00093840">
        <w:rPr>
          <w:lang w:val="en-US"/>
        </w:rPr>
        <w:t>1928] as an important advantage of the corporation</w:t>
      </w:r>
      <w:r>
        <w:rPr>
          <w:lang w:val="en-US"/>
        </w:rPr>
        <w:t xml:space="preserve"> </w:t>
      </w:r>
      <w:r w:rsidRPr="00093840">
        <w:rPr>
          <w:lang w:val="en-US"/>
        </w:rPr>
        <w:t xml:space="preserve">over partnerships but </w:t>
      </w:r>
      <w:r w:rsidR="00BA4427">
        <w:rPr>
          <w:lang w:val="en-US"/>
        </w:rPr>
        <w:t xml:space="preserve">the issues of </w:t>
      </w:r>
      <w:r w:rsidR="00BA4427" w:rsidRPr="00093840">
        <w:rPr>
          <w:lang w:val="en-US"/>
        </w:rPr>
        <w:t>how representative corporate</w:t>
      </w:r>
      <w:r w:rsidR="00BA4427">
        <w:rPr>
          <w:lang w:val="en-US"/>
        </w:rPr>
        <w:t xml:space="preserve"> </w:t>
      </w:r>
      <w:r w:rsidR="00BA4427" w:rsidRPr="00093840">
        <w:rPr>
          <w:lang w:val="en-US"/>
        </w:rPr>
        <w:t>governance really is</w:t>
      </w:r>
      <w:r w:rsidR="00BA4427">
        <w:rPr>
          <w:lang w:val="en-US"/>
        </w:rPr>
        <w:t xml:space="preserve"> and</w:t>
      </w:r>
      <w:r w:rsidR="00BA4427" w:rsidRPr="00093840">
        <w:rPr>
          <w:lang w:val="en-US"/>
        </w:rPr>
        <w:t xml:space="preserve"> whom it should represent</w:t>
      </w:r>
      <w:r w:rsidR="00BA4427">
        <w:rPr>
          <w:lang w:val="en-US"/>
        </w:rPr>
        <w:t xml:space="preserve"> are still contentious</w:t>
      </w:r>
      <w:r w:rsidRPr="00093840">
        <w:rPr>
          <w:lang w:val="en-US"/>
        </w:rPr>
        <w:t>.</w:t>
      </w:r>
    </w:p>
    <w:p w:rsidR="00BA4427" w:rsidRPr="00093840" w:rsidRDefault="00BA4427" w:rsidP="00D40FC5">
      <w:pPr>
        <w:pStyle w:val="Paragrafoelenco"/>
        <w:spacing w:afterLines="200" w:line="360" w:lineRule="auto"/>
        <w:jc w:val="both"/>
        <w:rPr>
          <w:lang w:val="en-US"/>
        </w:rPr>
      </w:pPr>
    </w:p>
    <w:p w:rsidR="004E74A3" w:rsidRDefault="00C42C9B" w:rsidP="00D40FC5">
      <w:pPr>
        <w:pStyle w:val="Paragrafoelenco"/>
        <w:spacing w:afterLines="200" w:line="360" w:lineRule="auto"/>
        <w:jc w:val="both"/>
        <w:rPr>
          <w:lang w:val="en-US"/>
        </w:rPr>
      </w:pPr>
      <w:r>
        <w:rPr>
          <w:lang w:val="en-US"/>
        </w:rPr>
        <w:t xml:space="preserve">The need for corporate governance arise from two relevant market failures affecting corporate elections and the role and fiduciary duties of the board of directors. On the one side, </w:t>
      </w:r>
      <w:r w:rsidR="00BA4427">
        <w:rPr>
          <w:lang w:val="en-US"/>
        </w:rPr>
        <w:t xml:space="preserve">shareholders bear high coordination costs to select and appoint corporate directors who are able to maximize firm value (so-called collective action problem). On the other side monitoring that </w:t>
      </w:r>
      <w:r w:rsidR="004E74A3">
        <w:rPr>
          <w:lang w:val="en-US"/>
        </w:rPr>
        <w:t xml:space="preserve">managerial actions are </w:t>
      </w:r>
      <w:r w:rsidR="00BA4427">
        <w:rPr>
          <w:lang w:val="en-US"/>
        </w:rPr>
        <w:t xml:space="preserve">in line with </w:t>
      </w:r>
      <w:r w:rsidR="00E278F6">
        <w:rPr>
          <w:lang w:val="en-US"/>
        </w:rPr>
        <w:t xml:space="preserve">shareholders’ </w:t>
      </w:r>
      <w:r w:rsidR="00E615B9">
        <w:rPr>
          <w:lang w:val="en-US"/>
        </w:rPr>
        <w:t xml:space="preserve">ex-ante indications is burdensome (so-called principal-agent problem). </w:t>
      </w:r>
    </w:p>
    <w:p w:rsidR="004E74A3" w:rsidRDefault="004E74A3" w:rsidP="00D40FC5">
      <w:pPr>
        <w:pStyle w:val="Paragrafoelenco"/>
        <w:spacing w:afterLines="200" w:line="360" w:lineRule="auto"/>
        <w:jc w:val="both"/>
        <w:rPr>
          <w:lang w:val="en-US"/>
        </w:rPr>
      </w:pPr>
    </w:p>
    <w:p w:rsidR="000442C4" w:rsidRPr="00D05722" w:rsidRDefault="000442C4" w:rsidP="00D40FC5">
      <w:pPr>
        <w:pStyle w:val="Paragrafoelenco"/>
        <w:spacing w:afterLines="200" w:line="360" w:lineRule="auto"/>
        <w:jc w:val="both"/>
        <w:rPr>
          <w:lang w:val="en-US"/>
        </w:rPr>
      </w:pPr>
      <w:r w:rsidRPr="00D05722">
        <w:rPr>
          <w:lang w:val="en-US"/>
        </w:rPr>
        <w:t xml:space="preserve">Corporate governance and so-called intra-company mechanisms for the protection of </w:t>
      </w:r>
      <w:r w:rsidR="00D05722" w:rsidRPr="00D05722">
        <w:rPr>
          <w:lang w:val="en-US"/>
        </w:rPr>
        <w:t>shareholders</w:t>
      </w:r>
      <w:r w:rsidRPr="00D05722">
        <w:rPr>
          <w:lang w:val="en-US"/>
        </w:rPr>
        <w:t xml:space="preserve"> </w:t>
      </w:r>
      <w:r w:rsidR="00D05722">
        <w:rPr>
          <w:lang w:val="en-US"/>
        </w:rPr>
        <w:t xml:space="preserve">can </w:t>
      </w:r>
      <w:r w:rsidRPr="00D05722">
        <w:rPr>
          <w:lang w:val="en-US"/>
        </w:rPr>
        <w:t xml:space="preserve">play a very significant role in the development of equity markets. The link of causality, documented by ample economic literature, is simple: if company law protects </w:t>
      </w:r>
      <w:r w:rsidR="00D05722" w:rsidRPr="00D05722">
        <w:rPr>
          <w:lang w:val="en-US"/>
        </w:rPr>
        <w:t>(</w:t>
      </w:r>
      <w:r w:rsidRPr="00D05722">
        <w:rPr>
          <w:lang w:val="en-US"/>
        </w:rPr>
        <w:t>minority</w:t>
      </w:r>
      <w:r w:rsidR="00D05722" w:rsidRPr="00D05722">
        <w:rPr>
          <w:lang w:val="en-US"/>
        </w:rPr>
        <w:t>)</w:t>
      </w:r>
      <w:r w:rsidRPr="00D05722">
        <w:rPr>
          <w:lang w:val="en-US"/>
        </w:rPr>
        <w:t xml:space="preserve"> shareholders adequately, savings flow to businesses through the stock exchange, and share ownership broadens. On the contrary, undeveloped equity markets and high ownership concentrations can be symptoms of their insufficient protection. </w:t>
      </w:r>
    </w:p>
    <w:p w:rsidR="000442C4" w:rsidRDefault="000442C4" w:rsidP="00D40FC5">
      <w:pPr>
        <w:pStyle w:val="Paragrafoelenco"/>
        <w:spacing w:afterLines="200" w:line="360" w:lineRule="auto"/>
        <w:ind w:left="0"/>
        <w:jc w:val="both"/>
        <w:rPr>
          <w:b/>
          <w:i/>
          <w:lang w:val="en-US"/>
        </w:rPr>
      </w:pPr>
    </w:p>
    <w:p w:rsidR="00D05722" w:rsidRPr="000442C4" w:rsidRDefault="00D05722" w:rsidP="00D40FC5">
      <w:pPr>
        <w:pStyle w:val="Paragrafoelenco"/>
        <w:spacing w:afterLines="200" w:line="360" w:lineRule="auto"/>
        <w:ind w:left="0"/>
        <w:jc w:val="both"/>
        <w:rPr>
          <w:b/>
          <w:i/>
          <w:lang w:val="en-US"/>
        </w:rPr>
      </w:pPr>
    </w:p>
    <w:p w:rsidR="000442C4" w:rsidRDefault="000442C4" w:rsidP="00D40FC5">
      <w:pPr>
        <w:pStyle w:val="Paragrafoelenco"/>
        <w:numPr>
          <w:ilvl w:val="0"/>
          <w:numId w:val="10"/>
        </w:numPr>
        <w:spacing w:afterLines="200" w:line="360" w:lineRule="auto"/>
        <w:jc w:val="both"/>
        <w:rPr>
          <w:b/>
          <w:lang w:val="en-US"/>
        </w:rPr>
      </w:pPr>
      <w:r w:rsidRPr="000442C4">
        <w:rPr>
          <w:b/>
          <w:lang w:val="en-US"/>
        </w:rPr>
        <w:t xml:space="preserve">Comparative corporate governance through </w:t>
      </w:r>
      <w:r w:rsidR="00B5425F">
        <w:rPr>
          <w:b/>
          <w:lang w:val="en-US"/>
        </w:rPr>
        <w:t>recent</w:t>
      </w:r>
      <w:r w:rsidRPr="000442C4">
        <w:rPr>
          <w:b/>
          <w:lang w:val="en-US"/>
        </w:rPr>
        <w:t xml:space="preserve"> crises</w:t>
      </w:r>
    </w:p>
    <w:p w:rsidR="000442C4" w:rsidRPr="000442C4" w:rsidRDefault="000442C4" w:rsidP="00D40FC5">
      <w:pPr>
        <w:pStyle w:val="Paragrafoelenco"/>
        <w:spacing w:afterLines="200" w:line="360" w:lineRule="auto"/>
        <w:ind w:left="1080"/>
        <w:jc w:val="both"/>
        <w:rPr>
          <w:b/>
          <w:lang w:val="en-US"/>
        </w:rPr>
      </w:pPr>
    </w:p>
    <w:p w:rsidR="00427B1C" w:rsidRDefault="004B2EFD" w:rsidP="00D40FC5">
      <w:pPr>
        <w:pStyle w:val="Paragrafoelenco"/>
        <w:spacing w:afterLines="200" w:line="360" w:lineRule="auto"/>
        <w:jc w:val="both"/>
        <w:rPr>
          <w:lang w:val="en-US"/>
        </w:rPr>
      </w:pPr>
      <w:r>
        <w:rPr>
          <w:lang w:val="en-US"/>
        </w:rPr>
        <w:t xml:space="preserve">Agency </w:t>
      </w:r>
      <w:r w:rsidR="00E615B9">
        <w:rPr>
          <w:lang w:val="en-US"/>
        </w:rPr>
        <w:t xml:space="preserve">problems </w:t>
      </w:r>
      <w:r w:rsidR="00C2329D">
        <w:rPr>
          <w:lang w:val="en-US"/>
        </w:rPr>
        <w:t>are</w:t>
      </w:r>
      <w:r w:rsidR="00E615B9">
        <w:rPr>
          <w:lang w:val="en-US"/>
        </w:rPr>
        <w:t xml:space="preserve"> magnified when corporate ownership is dispersed, </w:t>
      </w:r>
      <w:r>
        <w:rPr>
          <w:lang w:val="en-US"/>
        </w:rPr>
        <w:t xml:space="preserve">as it is in the US and in the UK, </w:t>
      </w:r>
      <w:r w:rsidR="003923CD">
        <w:rPr>
          <w:lang w:val="en-US"/>
        </w:rPr>
        <w:t xml:space="preserve">because the </w:t>
      </w:r>
      <w:r w:rsidR="003923CD" w:rsidRPr="004B2EFD">
        <w:rPr>
          <w:lang w:val="en-US"/>
        </w:rPr>
        <w:t xml:space="preserve">interests of </w:t>
      </w:r>
      <w:r w:rsidR="00C15387">
        <w:rPr>
          <w:lang w:val="en-US"/>
        </w:rPr>
        <w:t xml:space="preserve">management and </w:t>
      </w:r>
      <w:r w:rsidR="003923CD" w:rsidRPr="004B2EFD">
        <w:rPr>
          <w:lang w:val="en-US"/>
        </w:rPr>
        <w:t>shareholders are not aligned</w:t>
      </w:r>
      <w:r w:rsidR="003923CD">
        <w:rPr>
          <w:lang w:val="en-US"/>
        </w:rPr>
        <w:t xml:space="preserve">. </w:t>
      </w:r>
      <w:r w:rsidR="00C15387">
        <w:rPr>
          <w:lang w:val="en-US"/>
        </w:rPr>
        <w:t>T</w:t>
      </w:r>
      <w:r w:rsidR="00C15387" w:rsidRPr="00664DF1">
        <w:rPr>
          <w:lang w:val="en-US"/>
        </w:rPr>
        <w:t xml:space="preserve">he </w:t>
      </w:r>
      <w:r w:rsidR="00C15387">
        <w:rPr>
          <w:lang w:val="en-US"/>
        </w:rPr>
        <w:t xml:space="preserve">main aim </w:t>
      </w:r>
      <w:r w:rsidR="00C15387" w:rsidRPr="00664DF1">
        <w:rPr>
          <w:lang w:val="en-US"/>
        </w:rPr>
        <w:t xml:space="preserve">of corporate governance in the </w:t>
      </w:r>
      <w:r w:rsidR="00C15387">
        <w:rPr>
          <w:lang w:val="en-US"/>
        </w:rPr>
        <w:t xml:space="preserve">US and in the UK </w:t>
      </w:r>
      <w:r w:rsidR="00C15387" w:rsidRPr="00664DF1">
        <w:rPr>
          <w:lang w:val="en-US"/>
        </w:rPr>
        <w:t>is</w:t>
      </w:r>
      <w:r w:rsidR="00C15387">
        <w:rPr>
          <w:lang w:val="en-US"/>
        </w:rPr>
        <w:t xml:space="preserve"> then </w:t>
      </w:r>
      <w:r w:rsidR="00C15387" w:rsidRPr="00664DF1">
        <w:rPr>
          <w:lang w:val="en-US"/>
        </w:rPr>
        <w:t>to alleviate the conflict of interest</w:t>
      </w:r>
      <w:r w:rsidR="00C15387">
        <w:rPr>
          <w:lang w:val="en-US"/>
        </w:rPr>
        <w:t>s</w:t>
      </w:r>
      <w:r w:rsidR="00C15387" w:rsidRPr="00664DF1">
        <w:rPr>
          <w:lang w:val="en-US"/>
        </w:rPr>
        <w:t xml:space="preserve"> between dispersed small shareowners</w:t>
      </w:r>
      <w:r w:rsidR="00C15387">
        <w:rPr>
          <w:lang w:val="en-US"/>
        </w:rPr>
        <w:t xml:space="preserve"> </w:t>
      </w:r>
      <w:r w:rsidR="00C15387" w:rsidRPr="00664DF1">
        <w:rPr>
          <w:lang w:val="en-US"/>
        </w:rPr>
        <w:t>and</w:t>
      </w:r>
      <w:r w:rsidR="00C15387">
        <w:rPr>
          <w:lang w:val="en-US"/>
        </w:rPr>
        <w:t xml:space="preserve"> powerful controlling managers, given that listed </w:t>
      </w:r>
      <w:r w:rsidR="00C15387" w:rsidRPr="00664DF1">
        <w:rPr>
          <w:lang w:val="en-US"/>
        </w:rPr>
        <w:t xml:space="preserve">companies controlled by large </w:t>
      </w:r>
      <w:proofErr w:type="spellStart"/>
      <w:r w:rsidR="00C15387" w:rsidRPr="00664DF1">
        <w:rPr>
          <w:lang w:val="en-US"/>
        </w:rPr>
        <w:t>blockholders</w:t>
      </w:r>
      <w:proofErr w:type="spellEnd"/>
      <w:r w:rsidR="00C15387">
        <w:rPr>
          <w:lang w:val="en-US"/>
        </w:rPr>
        <w:t xml:space="preserve"> </w:t>
      </w:r>
      <w:r w:rsidR="00C15387" w:rsidRPr="00664DF1">
        <w:rPr>
          <w:lang w:val="en-US"/>
        </w:rPr>
        <w:t>are relatively few.</w:t>
      </w:r>
      <w:r w:rsidR="00C15387">
        <w:rPr>
          <w:lang w:val="en-US"/>
        </w:rPr>
        <w:t xml:space="preserve"> </w:t>
      </w:r>
    </w:p>
    <w:p w:rsidR="00427B1C" w:rsidRDefault="00427B1C" w:rsidP="00D40FC5">
      <w:pPr>
        <w:pStyle w:val="Paragrafoelenco"/>
        <w:spacing w:afterLines="200" w:line="360" w:lineRule="auto"/>
        <w:jc w:val="both"/>
        <w:rPr>
          <w:lang w:val="en-US"/>
        </w:rPr>
      </w:pPr>
    </w:p>
    <w:p w:rsidR="004B2EFD" w:rsidRDefault="00C15387" w:rsidP="00D40FC5">
      <w:pPr>
        <w:pStyle w:val="Paragrafoelenco"/>
        <w:spacing w:afterLines="200" w:line="360" w:lineRule="auto"/>
        <w:jc w:val="both"/>
        <w:rPr>
          <w:lang w:val="en-US"/>
        </w:rPr>
      </w:pPr>
      <w:r>
        <w:rPr>
          <w:lang w:val="en-US"/>
        </w:rPr>
        <w:t>On the contrary, t</w:t>
      </w:r>
      <w:r w:rsidRPr="00664DF1">
        <w:rPr>
          <w:lang w:val="en-US"/>
        </w:rPr>
        <w:t xml:space="preserve">he typical firm around the </w:t>
      </w:r>
      <w:r>
        <w:rPr>
          <w:lang w:val="en-US"/>
        </w:rPr>
        <w:t>non-</w:t>
      </w:r>
      <w:proofErr w:type="spellStart"/>
      <w:r>
        <w:rPr>
          <w:lang w:val="en-US"/>
        </w:rPr>
        <w:t>anglo-saxon</w:t>
      </w:r>
      <w:proofErr w:type="spellEnd"/>
      <w:r>
        <w:rPr>
          <w:lang w:val="en-US"/>
        </w:rPr>
        <w:t xml:space="preserve"> </w:t>
      </w:r>
      <w:r w:rsidRPr="00664DF1">
        <w:rPr>
          <w:lang w:val="en-US"/>
        </w:rPr>
        <w:t>world has a dominant</w:t>
      </w:r>
      <w:r>
        <w:rPr>
          <w:lang w:val="en-US"/>
        </w:rPr>
        <w:t xml:space="preserve"> shareholder, </w:t>
      </w:r>
      <w:r w:rsidRPr="00664DF1">
        <w:rPr>
          <w:lang w:val="en-US"/>
        </w:rPr>
        <w:t>who controls the majority of votes</w:t>
      </w:r>
      <w:r>
        <w:rPr>
          <w:lang w:val="en-US"/>
        </w:rPr>
        <w:t xml:space="preserve">, often </w:t>
      </w:r>
      <w:r w:rsidRPr="004B2EFD">
        <w:rPr>
          <w:lang w:val="en-US"/>
        </w:rPr>
        <w:t>through control enhancing mechanisms such as pyramids, cross-shareholdings, dual class shares and coalitions</w:t>
      </w:r>
      <w:r>
        <w:rPr>
          <w:lang w:val="en-US"/>
        </w:rPr>
        <w:t>, and</w:t>
      </w:r>
      <w:r w:rsidRPr="00C15387">
        <w:rPr>
          <w:lang w:val="en-US"/>
        </w:rPr>
        <w:t xml:space="preserve"> </w:t>
      </w:r>
      <w:r w:rsidRPr="00664DF1">
        <w:rPr>
          <w:lang w:val="en-US"/>
        </w:rPr>
        <w:t>few listed companies are widely</w:t>
      </w:r>
      <w:r>
        <w:rPr>
          <w:lang w:val="en-US"/>
        </w:rPr>
        <w:t xml:space="preserve"> </w:t>
      </w:r>
      <w:r w:rsidRPr="00664DF1">
        <w:rPr>
          <w:lang w:val="en-US"/>
        </w:rPr>
        <w:t>held.</w:t>
      </w:r>
      <w:r>
        <w:rPr>
          <w:lang w:val="en-US"/>
        </w:rPr>
        <w:t xml:space="preserve"> T</w:t>
      </w:r>
      <w:r w:rsidR="003923CD" w:rsidRPr="004B2EFD">
        <w:rPr>
          <w:lang w:val="en-US"/>
        </w:rPr>
        <w:t xml:space="preserve">he appointment and monitoring of management is more efficient </w:t>
      </w:r>
      <w:r w:rsidR="003923CD">
        <w:rPr>
          <w:lang w:val="en-US"/>
        </w:rPr>
        <w:t>when a</w:t>
      </w:r>
      <w:r w:rsidR="003923CD" w:rsidRPr="004B2EFD">
        <w:rPr>
          <w:lang w:val="en-US"/>
        </w:rPr>
        <w:t xml:space="preserve"> dominant shareholder</w:t>
      </w:r>
      <w:r w:rsidR="003923CD">
        <w:rPr>
          <w:lang w:val="en-US"/>
        </w:rPr>
        <w:t xml:space="preserve"> </w:t>
      </w:r>
      <w:r w:rsidR="003923CD" w:rsidRPr="004B2EFD">
        <w:rPr>
          <w:lang w:val="en-US"/>
        </w:rPr>
        <w:t>controls the majority of votes</w:t>
      </w:r>
      <w:r w:rsidR="003923CD">
        <w:rPr>
          <w:lang w:val="en-US"/>
        </w:rPr>
        <w:t xml:space="preserve"> because</w:t>
      </w:r>
      <w:r w:rsidR="00C2329D" w:rsidRPr="004B2EFD">
        <w:rPr>
          <w:lang w:val="en-US"/>
        </w:rPr>
        <w:t xml:space="preserve"> </w:t>
      </w:r>
      <w:r w:rsidR="00D05722">
        <w:rPr>
          <w:lang w:val="en-US"/>
        </w:rPr>
        <w:t>he</w:t>
      </w:r>
      <w:r w:rsidR="009B0148" w:rsidRPr="004B2EFD">
        <w:rPr>
          <w:lang w:val="en-US"/>
        </w:rPr>
        <w:t xml:space="preserve"> has adequate incentives to perform the screening and monitoring functions </w:t>
      </w:r>
      <w:r w:rsidR="00D05722">
        <w:rPr>
          <w:lang w:val="en-US"/>
        </w:rPr>
        <w:t>as well as</w:t>
      </w:r>
      <w:r w:rsidR="004B2EFD">
        <w:rPr>
          <w:lang w:val="en-US"/>
        </w:rPr>
        <w:t xml:space="preserve"> </w:t>
      </w:r>
      <w:r w:rsidR="009B0148" w:rsidRPr="004B2EFD">
        <w:rPr>
          <w:lang w:val="en-US"/>
        </w:rPr>
        <w:t xml:space="preserve">the power to discipline management. </w:t>
      </w:r>
      <w:r w:rsidR="00E278F6">
        <w:rPr>
          <w:lang w:val="en-US"/>
        </w:rPr>
        <w:t>Here, conflicts of interest between majority and minority shareholders are the key issue to address.</w:t>
      </w:r>
    </w:p>
    <w:p w:rsidR="00C15387" w:rsidRDefault="00C15387" w:rsidP="00D40FC5">
      <w:pPr>
        <w:pStyle w:val="Paragrafoelenco"/>
        <w:spacing w:afterLines="200" w:line="360" w:lineRule="auto"/>
        <w:jc w:val="both"/>
        <w:rPr>
          <w:lang w:val="en-US"/>
        </w:rPr>
      </w:pPr>
    </w:p>
    <w:p w:rsidR="004F2644" w:rsidRDefault="00D67367" w:rsidP="00D40FC5">
      <w:pPr>
        <w:pStyle w:val="Paragrafoelenco"/>
        <w:spacing w:afterLines="200" w:line="360" w:lineRule="auto"/>
        <w:jc w:val="both"/>
        <w:rPr>
          <w:lang w:val="en-US"/>
        </w:rPr>
      </w:pPr>
      <w:r>
        <w:rPr>
          <w:lang w:val="en-US"/>
        </w:rPr>
        <w:t>While t</w:t>
      </w:r>
      <w:r w:rsidR="00CE40CB" w:rsidRPr="00CE40CB">
        <w:rPr>
          <w:lang w:val="en-US"/>
        </w:rPr>
        <w:t xml:space="preserve">he US and the UK share </w:t>
      </w:r>
      <w:r>
        <w:rPr>
          <w:lang w:val="en-US"/>
        </w:rPr>
        <w:t xml:space="preserve">many other </w:t>
      </w:r>
      <w:r w:rsidR="00CE40CB" w:rsidRPr="00CE40CB">
        <w:rPr>
          <w:lang w:val="en-US"/>
        </w:rPr>
        <w:t>common features</w:t>
      </w:r>
      <w:r>
        <w:rPr>
          <w:lang w:val="en-US"/>
        </w:rPr>
        <w:t>,</w:t>
      </w:r>
      <w:r w:rsidR="00CE40CB" w:rsidRPr="00CE40CB">
        <w:rPr>
          <w:lang w:val="en-US"/>
        </w:rPr>
        <w:t xml:space="preserve"> which distinguish</w:t>
      </w:r>
      <w:r w:rsidR="00CE40CB">
        <w:rPr>
          <w:lang w:val="en-US"/>
        </w:rPr>
        <w:t xml:space="preserve"> </w:t>
      </w:r>
      <w:r w:rsidR="00CE40CB" w:rsidRPr="00CE40CB">
        <w:rPr>
          <w:lang w:val="en-US"/>
        </w:rPr>
        <w:t>them from most Continental European countries and Japan</w:t>
      </w:r>
      <w:r>
        <w:rPr>
          <w:lang w:val="en-US"/>
        </w:rPr>
        <w:t>, there are also several differences</w:t>
      </w:r>
      <w:r w:rsidR="00CE40CB" w:rsidRPr="00CE40CB">
        <w:rPr>
          <w:lang w:val="en-US"/>
        </w:rPr>
        <w:t xml:space="preserve">. </w:t>
      </w:r>
      <w:r>
        <w:rPr>
          <w:lang w:val="en-US"/>
        </w:rPr>
        <w:t xml:space="preserve">For example, </w:t>
      </w:r>
      <w:r w:rsidR="00CE40CB" w:rsidRPr="00CE40CB">
        <w:rPr>
          <w:lang w:val="en-US"/>
        </w:rPr>
        <w:t>British</w:t>
      </w:r>
      <w:r w:rsidR="00CE40CB">
        <w:rPr>
          <w:lang w:val="en-US"/>
        </w:rPr>
        <w:t xml:space="preserve"> </w:t>
      </w:r>
      <w:r w:rsidR="00CE40CB" w:rsidRPr="00CE40CB">
        <w:rPr>
          <w:lang w:val="en-US"/>
        </w:rPr>
        <w:t xml:space="preserve">institutional investors tend to be more interventionist than their American </w:t>
      </w:r>
      <w:r>
        <w:rPr>
          <w:lang w:val="en-US"/>
        </w:rPr>
        <w:t>peers</w:t>
      </w:r>
      <w:r w:rsidR="004F2644">
        <w:rPr>
          <w:lang w:val="en-US"/>
        </w:rPr>
        <w:t xml:space="preserve">, thus making </w:t>
      </w:r>
      <w:r w:rsidR="00CE40CB" w:rsidRPr="00CE40CB">
        <w:rPr>
          <w:lang w:val="en-US"/>
        </w:rPr>
        <w:t xml:space="preserve">boards of directors more </w:t>
      </w:r>
      <w:r w:rsidR="004F2644">
        <w:rPr>
          <w:lang w:val="en-US"/>
        </w:rPr>
        <w:t xml:space="preserve">accountable </w:t>
      </w:r>
      <w:r w:rsidR="00CE40CB" w:rsidRPr="00CE40CB">
        <w:rPr>
          <w:lang w:val="en-US"/>
        </w:rPr>
        <w:t xml:space="preserve">on issues </w:t>
      </w:r>
      <w:r w:rsidR="004F2644">
        <w:rPr>
          <w:lang w:val="en-US"/>
        </w:rPr>
        <w:t xml:space="preserve">such </w:t>
      </w:r>
      <w:r w:rsidR="00CE40CB" w:rsidRPr="00CE40CB">
        <w:rPr>
          <w:lang w:val="en-US"/>
        </w:rPr>
        <w:t>as the composition of the board, t</w:t>
      </w:r>
      <w:r w:rsidR="003923CD">
        <w:rPr>
          <w:lang w:val="en-US"/>
        </w:rPr>
        <w:t>he appointment of new directors</w:t>
      </w:r>
      <w:r w:rsidR="00CE40CB" w:rsidRPr="00CE40CB">
        <w:rPr>
          <w:lang w:val="en-US"/>
        </w:rPr>
        <w:t xml:space="preserve"> and executive pay.</w:t>
      </w:r>
      <w:r w:rsidR="00CE40CB">
        <w:rPr>
          <w:lang w:val="en-US"/>
        </w:rPr>
        <w:t xml:space="preserve"> </w:t>
      </w:r>
    </w:p>
    <w:p w:rsidR="004F2644" w:rsidRDefault="004F2644" w:rsidP="00D40FC5">
      <w:pPr>
        <w:pStyle w:val="Paragrafoelenco"/>
        <w:spacing w:afterLines="200" w:line="360" w:lineRule="auto"/>
        <w:jc w:val="both"/>
        <w:rPr>
          <w:lang w:val="en-US"/>
        </w:rPr>
      </w:pPr>
    </w:p>
    <w:p w:rsidR="00D67367" w:rsidRDefault="00D67367" w:rsidP="00D40FC5">
      <w:pPr>
        <w:pStyle w:val="Paragrafoelenco"/>
        <w:spacing w:afterLines="200" w:line="360" w:lineRule="auto"/>
        <w:jc w:val="both"/>
        <w:rPr>
          <w:lang w:val="en-US"/>
        </w:rPr>
      </w:pPr>
      <w:r>
        <w:rPr>
          <w:lang w:val="en-US"/>
        </w:rPr>
        <w:t>D</w:t>
      </w:r>
      <w:r w:rsidRPr="009F32F0">
        <w:rPr>
          <w:lang w:val="en-US"/>
        </w:rPr>
        <w:t xml:space="preserve">uring the 1990s, the US economy markedly out-performed that of most European countries and Japan. </w:t>
      </w:r>
      <w:r>
        <w:rPr>
          <w:lang w:val="en-US"/>
        </w:rPr>
        <w:t>I</w:t>
      </w:r>
      <w:r w:rsidRPr="009F32F0">
        <w:rPr>
          <w:lang w:val="en-US"/>
        </w:rPr>
        <w:t>t was widely believed that this was due to the vitality of US financial markets, which ensured that badly managed firms were reorgani</w:t>
      </w:r>
      <w:r w:rsidR="003923CD">
        <w:rPr>
          <w:lang w:val="en-US"/>
        </w:rPr>
        <w:t>z</w:t>
      </w:r>
      <w:r w:rsidRPr="009F32F0">
        <w:rPr>
          <w:lang w:val="en-US"/>
        </w:rPr>
        <w:t>ed or taken</w:t>
      </w:r>
      <w:r w:rsidR="003923CD">
        <w:rPr>
          <w:lang w:val="en-US"/>
        </w:rPr>
        <w:t>-</w:t>
      </w:r>
      <w:r w:rsidRPr="009F32F0">
        <w:rPr>
          <w:lang w:val="en-US"/>
        </w:rPr>
        <w:t xml:space="preserve">over and  promising projects had easy access to capital. The focus on shareholder value as the principal measure of a company’s performance was seen to be a powerful force for inducing managers </w:t>
      </w:r>
      <w:r>
        <w:rPr>
          <w:lang w:val="en-US"/>
        </w:rPr>
        <w:t xml:space="preserve">to pursue </w:t>
      </w:r>
      <w:r w:rsidRPr="009F32F0">
        <w:rPr>
          <w:lang w:val="en-US"/>
        </w:rPr>
        <w:t xml:space="preserve">profits. </w:t>
      </w:r>
      <w:r>
        <w:rPr>
          <w:lang w:val="en-US"/>
        </w:rPr>
        <w:t xml:space="preserve">Other </w:t>
      </w:r>
      <w:r w:rsidRPr="009F32F0">
        <w:rPr>
          <w:lang w:val="en-US"/>
        </w:rPr>
        <w:t xml:space="preserve">countries </w:t>
      </w:r>
      <w:r>
        <w:rPr>
          <w:lang w:val="en-US"/>
        </w:rPr>
        <w:t xml:space="preserve">then </w:t>
      </w:r>
      <w:r w:rsidRPr="009F32F0">
        <w:rPr>
          <w:lang w:val="en-US"/>
        </w:rPr>
        <w:t>follow</w:t>
      </w:r>
      <w:r>
        <w:rPr>
          <w:lang w:val="en-US"/>
        </w:rPr>
        <w:t>ed</w:t>
      </w:r>
      <w:r w:rsidRPr="009F32F0">
        <w:rPr>
          <w:lang w:val="en-US"/>
        </w:rPr>
        <w:t xml:space="preserve"> the US model, emphasizing the importance of shareholder value and enhancing the contestability of listed companies as an instrument of discipline. In Europe, and to a lesser extent in Japan, </w:t>
      </w:r>
      <w:r w:rsidRPr="009F32F0">
        <w:rPr>
          <w:lang w:val="en-US"/>
        </w:rPr>
        <w:lastRenderedPageBreak/>
        <w:t xml:space="preserve">additional pressure to make these changes came from the growing influence of </w:t>
      </w:r>
      <w:r>
        <w:rPr>
          <w:lang w:val="en-US"/>
        </w:rPr>
        <w:t xml:space="preserve">US and UK </w:t>
      </w:r>
      <w:r w:rsidRPr="009F32F0">
        <w:rPr>
          <w:lang w:val="en-US"/>
        </w:rPr>
        <w:t>institutional investors as shareholders in European companies.</w:t>
      </w:r>
    </w:p>
    <w:p w:rsidR="003923CD" w:rsidRDefault="003923CD" w:rsidP="00D40FC5">
      <w:pPr>
        <w:pStyle w:val="Paragrafoelenco"/>
        <w:spacing w:afterLines="200" w:line="360" w:lineRule="auto"/>
        <w:jc w:val="both"/>
        <w:rPr>
          <w:lang w:val="en-US"/>
        </w:rPr>
      </w:pPr>
    </w:p>
    <w:p w:rsidR="00DC1864" w:rsidRDefault="000442C4" w:rsidP="00D40FC5">
      <w:pPr>
        <w:pStyle w:val="Paragrafoelenco"/>
        <w:spacing w:afterLines="200" w:line="360" w:lineRule="auto"/>
        <w:jc w:val="both"/>
        <w:rPr>
          <w:lang w:val="en-US"/>
        </w:rPr>
      </w:pPr>
      <w:r>
        <w:rPr>
          <w:lang w:val="en-US"/>
        </w:rPr>
        <w:t xml:space="preserve">After </w:t>
      </w:r>
      <w:r w:rsidRPr="000442C4">
        <w:rPr>
          <w:lang w:val="en-US"/>
        </w:rPr>
        <w:t>the stock market crash</w:t>
      </w:r>
      <w:r w:rsidR="003923CD">
        <w:rPr>
          <w:lang w:val="en-US"/>
        </w:rPr>
        <w:t xml:space="preserve"> of early 2000s</w:t>
      </w:r>
      <w:r w:rsidRPr="000442C4">
        <w:rPr>
          <w:lang w:val="en-US"/>
        </w:rPr>
        <w:t>, followed by Enron, WorldCom and other</w:t>
      </w:r>
      <w:r>
        <w:rPr>
          <w:lang w:val="en-US"/>
        </w:rPr>
        <w:t xml:space="preserve"> </w:t>
      </w:r>
      <w:r w:rsidRPr="000442C4">
        <w:rPr>
          <w:lang w:val="en-US"/>
        </w:rPr>
        <w:t>corporate scandals</w:t>
      </w:r>
      <w:r>
        <w:rPr>
          <w:lang w:val="en-US"/>
        </w:rPr>
        <w:t>, t</w:t>
      </w:r>
      <w:r w:rsidRPr="000442C4">
        <w:rPr>
          <w:lang w:val="en-US"/>
        </w:rPr>
        <w:t>he US model of corporate gov</w:t>
      </w:r>
      <w:r>
        <w:rPr>
          <w:lang w:val="en-US"/>
        </w:rPr>
        <w:t xml:space="preserve">ernance lost much of its appeal. However other </w:t>
      </w:r>
      <w:r w:rsidRPr="000442C4">
        <w:rPr>
          <w:lang w:val="en-US"/>
        </w:rPr>
        <w:t xml:space="preserve">scandals </w:t>
      </w:r>
      <w:r>
        <w:rPr>
          <w:lang w:val="en-US"/>
        </w:rPr>
        <w:t>regarding European companies show</w:t>
      </w:r>
      <w:r w:rsidR="003923CD">
        <w:rPr>
          <w:lang w:val="en-US"/>
        </w:rPr>
        <w:t>ed</w:t>
      </w:r>
      <w:r>
        <w:rPr>
          <w:lang w:val="en-US"/>
        </w:rPr>
        <w:t xml:space="preserve"> </w:t>
      </w:r>
      <w:r w:rsidRPr="000442C4">
        <w:rPr>
          <w:lang w:val="en-US"/>
        </w:rPr>
        <w:t xml:space="preserve">that corporate governance in Europe was far from perfect. </w:t>
      </w:r>
      <w:r>
        <w:rPr>
          <w:lang w:val="en-US"/>
        </w:rPr>
        <w:t xml:space="preserve">Regulators consequently focused their attention </w:t>
      </w:r>
      <w:r w:rsidR="003923CD">
        <w:rPr>
          <w:lang w:val="en-US"/>
        </w:rPr>
        <w:t xml:space="preserve">on possible reforms, </w:t>
      </w:r>
      <w:r>
        <w:rPr>
          <w:lang w:val="en-US"/>
        </w:rPr>
        <w:t>mainly</w:t>
      </w:r>
      <w:r w:rsidR="005E26D3">
        <w:rPr>
          <w:lang w:val="en-US"/>
        </w:rPr>
        <w:t xml:space="preserve"> by</w:t>
      </w:r>
      <w:r>
        <w:rPr>
          <w:lang w:val="en-US"/>
        </w:rPr>
        <w:t xml:space="preserve"> </w:t>
      </w:r>
      <w:r w:rsidR="00CE3A69">
        <w:rPr>
          <w:lang w:val="en-US"/>
        </w:rPr>
        <w:t>reshaping</w:t>
      </w:r>
      <w:r>
        <w:rPr>
          <w:lang w:val="en-US"/>
        </w:rPr>
        <w:t xml:space="preserve"> </w:t>
      </w:r>
      <w:r w:rsidR="005E26D3">
        <w:rPr>
          <w:lang w:val="en-US"/>
        </w:rPr>
        <w:t>the systems of internal control. The key areas of intervention were</w:t>
      </w:r>
      <w:r>
        <w:rPr>
          <w:lang w:val="en-US"/>
        </w:rPr>
        <w:t xml:space="preserve"> </w:t>
      </w:r>
      <w:r w:rsidRPr="000442C4">
        <w:rPr>
          <w:lang w:val="en-US"/>
        </w:rPr>
        <w:t>the role of boards of directors</w:t>
      </w:r>
      <w:r>
        <w:rPr>
          <w:lang w:val="en-US"/>
        </w:rPr>
        <w:t xml:space="preserve"> </w:t>
      </w:r>
      <w:r w:rsidR="00CE3A69">
        <w:rPr>
          <w:lang w:val="en-US"/>
        </w:rPr>
        <w:t>as monitors of management and</w:t>
      </w:r>
      <w:r w:rsidRPr="000442C4">
        <w:rPr>
          <w:lang w:val="en-US"/>
        </w:rPr>
        <w:t xml:space="preserve"> the independence and effectiveness of auditors.</w:t>
      </w:r>
    </w:p>
    <w:p w:rsidR="00DC1864" w:rsidRDefault="00DC1864" w:rsidP="00D40FC5">
      <w:pPr>
        <w:pStyle w:val="Paragrafoelenco"/>
        <w:spacing w:afterLines="200" w:line="360" w:lineRule="auto"/>
        <w:jc w:val="both"/>
        <w:rPr>
          <w:lang w:val="en-US"/>
        </w:rPr>
      </w:pPr>
    </w:p>
    <w:p w:rsidR="00DC1864" w:rsidRDefault="005E26D3" w:rsidP="00D40FC5">
      <w:pPr>
        <w:pStyle w:val="Paragrafoelenco"/>
        <w:spacing w:afterLines="200" w:line="360" w:lineRule="auto"/>
        <w:jc w:val="both"/>
        <w:rPr>
          <w:lang w:val="en-US"/>
        </w:rPr>
      </w:pPr>
      <w:r>
        <w:rPr>
          <w:lang w:val="en-US"/>
        </w:rPr>
        <w:t xml:space="preserve">In choosing between state intervention through “command and control” </w:t>
      </w:r>
      <w:r w:rsidR="00584BE3">
        <w:rPr>
          <w:lang w:val="en-US"/>
        </w:rPr>
        <w:t xml:space="preserve">rules </w:t>
      </w:r>
      <w:r>
        <w:rPr>
          <w:lang w:val="en-US"/>
        </w:rPr>
        <w:t>and self-regulation, t</w:t>
      </w:r>
      <w:r w:rsidR="009D1303" w:rsidRPr="005E26D3">
        <w:rPr>
          <w:lang w:val="en-US"/>
        </w:rPr>
        <w:t>he US opted for the first route, principally through the Sarbanes-Oxley</w:t>
      </w:r>
      <w:r>
        <w:rPr>
          <w:lang w:val="en-US"/>
        </w:rPr>
        <w:t xml:space="preserve"> </w:t>
      </w:r>
      <w:r w:rsidR="009D1303" w:rsidRPr="005E26D3">
        <w:rPr>
          <w:lang w:val="en-US"/>
        </w:rPr>
        <w:t>Act</w:t>
      </w:r>
      <w:r>
        <w:rPr>
          <w:lang w:val="en-US"/>
        </w:rPr>
        <w:t xml:space="preserve"> provisions (which took several significant powers away from the states) and secondary rules </w:t>
      </w:r>
      <w:r w:rsidR="009D1303" w:rsidRPr="005E26D3">
        <w:rPr>
          <w:lang w:val="en-US"/>
        </w:rPr>
        <w:t>imposed by the</w:t>
      </w:r>
      <w:r>
        <w:rPr>
          <w:lang w:val="en-US"/>
        </w:rPr>
        <w:t xml:space="preserve"> </w:t>
      </w:r>
      <w:r w:rsidR="009D1303" w:rsidRPr="005E26D3">
        <w:rPr>
          <w:lang w:val="en-US"/>
        </w:rPr>
        <w:t>Securities and Exchange Commission. In addition, both the NYSE and the</w:t>
      </w:r>
      <w:r>
        <w:rPr>
          <w:lang w:val="en-US"/>
        </w:rPr>
        <w:t xml:space="preserve"> NASDAQ </w:t>
      </w:r>
      <w:r w:rsidR="009D1303" w:rsidRPr="005E26D3">
        <w:rPr>
          <w:lang w:val="en-US"/>
        </w:rPr>
        <w:t>improved their listing standards.</w:t>
      </w:r>
      <w:r w:rsidR="00743C66">
        <w:rPr>
          <w:lang w:val="en-US"/>
        </w:rPr>
        <w:t xml:space="preserve"> Differently, </w:t>
      </w:r>
      <w:r w:rsidR="009D1303" w:rsidRPr="005E26D3">
        <w:rPr>
          <w:lang w:val="en-US"/>
        </w:rPr>
        <w:t xml:space="preserve">the UK </w:t>
      </w:r>
      <w:r w:rsidR="00743C66">
        <w:rPr>
          <w:lang w:val="en-US"/>
        </w:rPr>
        <w:t>went for the second route building on the principle of voluntary compliance and introducing the</w:t>
      </w:r>
      <w:r w:rsidR="009D1303" w:rsidRPr="005E26D3">
        <w:rPr>
          <w:lang w:val="en-US"/>
        </w:rPr>
        <w:t xml:space="preserve"> concept of “comply or explain”</w:t>
      </w:r>
      <w:r w:rsidR="00743C66">
        <w:rPr>
          <w:lang w:val="en-US"/>
        </w:rPr>
        <w:t xml:space="preserve"> by</w:t>
      </w:r>
      <w:r w:rsidR="009D1303" w:rsidRPr="005E26D3">
        <w:rPr>
          <w:lang w:val="en-US"/>
        </w:rPr>
        <w:t xml:space="preserve"> which all listed companies are expected to adhere</w:t>
      </w:r>
      <w:r w:rsidR="00743C66">
        <w:rPr>
          <w:lang w:val="en-US"/>
        </w:rPr>
        <w:t xml:space="preserve"> to the Code of Conduct, or otherwise explain why non-compliance is a</w:t>
      </w:r>
      <w:r w:rsidR="009D1303" w:rsidRPr="005E26D3">
        <w:rPr>
          <w:lang w:val="en-US"/>
        </w:rPr>
        <w:t xml:space="preserve">ppropriate and justifiable. </w:t>
      </w:r>
    </w:p>
    <w:p w:rsidR="00DC1864" w:rsidRDefault="00DC1864" w:rsidP="00D40FC5">
      <w:pPr>
        <w:pStyle w:val="Paragrafoelenco"/>
        <w:spacing w:afterLines="200" w:line="360" w:lineRule="auto"/>
        <w:jc w:val="both"/>
        <w:rPr>
          <w:lang w:val="en-US"/>
        </w:rPr>
      </w:pPr>
    </w:p>
    <w:p w:rsidR="00743C66" w:rsidRDefault="00743C66" w:rsidP="00D40FC5">
      <w:pPr>
        <w:pStyle w:val="Paragrafoelenco"/>
        <w:spacing w:afterLines="200" w:line="360" w:lineRule="auto"/>
        <w:jc w:val="both"/>
        <w:rPr>
          <w:lang w:val="en-US"/>
        </w:rPr>
      </w:pPr>
      <w:r>
        <w:rPr>
          <w:lang w:val="en-US"/>
        </w:rPr>
        <w:t>Continental Europe reforms went in the same direction, promoting improvements to</w:t>
      </w:r>
      <w:r w:rsidR="009D1303" w:rsidRPr="005E26D3">
        <w:rPr>
          <w:lang w:val="en-US"/>
        </w:rPr>
        <w:t xml:space="preserve"> corporate</w:t>
      </w:r>
      <w:r>
        <w:rPr>
          <w:lang w:val="en-US"/>
        </w:rPr>
        <w:t xml:space="preserve"> </w:t>
      </w:r>
      <w:r w:rsidR="009D1303" w:rsidRPr="005E26D3">
        <w:rPr>
          <w:lang w:val="en-US"/>
        </w:rPr>
        <w:t>governance codes of conduct</w:t>
      </w:r>
      <w:r>
        <w:rPr>
          <w:lang w:val="en-US"/>
        </w:rPr>
        <w:t xml:space="preserve"> at the national level (e.g. </w:t>
      </w:r>
      <w:r w:rsidR="009D1303" w:rsidRPr="005E26D3">
        <w:rPr>
          <w:lang w:val="en-US"/>
        </w:rPr>
        <w:t xml:space="preserve">the </w:t>
      </w:r>
      <w:proofErr w:type="spellStart"/>
      <w:r w:rsidR="009D1303" w:rsidRPr="005E26D3">
        <w:rPr>
          <w:lang w:val="en-US"/>
        </w:rPr>
        <w:t>Cromme</w:t>
      </w:r>
      <w:proofErr w:type="spellEnd"/>
      <w:r w:rsidR="009D1303" w:rsidRPr="005E26D3">
        <w:rPr>
          <w:lang w:val="en-US"/>
        </w:rPr>
        <w:t xml:space="preserve"> Code for</w:t>
      </w:r>
      <w:r>
        <w:rPr>
          <w:lang w:val="en-US"/>
        </w:rPr>
        <w:t xml:space="preserve"> </w:t>
      </w:r>
      <w:r w:rsidR="009D1303" w:rsidRPr="005E26D3">
        <w:rPr>
          <w:lang w:val="en-US"/>
        </w:rPr>
        <w:t xml:space="preserve">Germany, the </w:t>
      </w:r>
      <w:proofErr w:type="spellStart"/>
      <w:r w:rsidR="009D1303" w:rsidRPr="005E26D3">
        <w:rPr>
          <w:lang w:val="en-US"/>
        </w:rPr>
        <w:t>Preda</w:t>
      </w:r>
      <w:proofErr w:type="spellEnd"/>
      <w:r w:rsidR="009D1303" w:rsidRPr="005E26D3">
        <w:rPr>
          <w:lang w:val="en-US"/>
        </w:rPr>
        <w:t xml:space="preserve"> Code for Italy and the </w:t>
      </w:r>
      <w:proofErr w:type="spellStart"/>
      <w:r w:rsidR="009D1303" w:rsidRPr="005E26D3">
        <w:rPr>
          <w:lang w:val="en-US"/>
        </w:rPr>
        <w:t>Viénot</w:t>
      </w:r>
      <w:proofErr w:type="spellEnd"/>
      <w:r w:rsidR="009D1303" w:rsidRPr="005E26D3">
        <w:rPr>
          <w:lang w:val="en-US"/>
        </w:rPr>
        <w:t>/</w:t>
      </w:r>
      <w:proofErr w:type="spellStart"/>
      <w:r w:rsidR="009D1303" w:rsidRPr="005E26D3">
        <w:rPr>
          <w:lang w:val="en-US"/>
        </w:rPr>
        <w:t>Bouton</w:t>
      </w:r>
      <w:proofErr w:type="spellEnd"/>
      <w:r w:rsidR="009D1303" w:rsidRPr="005E26D3">
        <w:rPr>
          <w:lang w:val="en-US"/>
        </w:rPr>
        <w:t xml:space="preserve"> Reports for France</w:t>
      </w:r>
      <w:r>
        <w:rPr>
          <w:lang w:val="en-US"/>
        </w:rPr>
        <w:t xml:space="preserve">) and adopting two Commission </w:t>
      </w:r>
      <w:r w:rsidR="009D1303" w:rsidRPr="005E26D3">
        <w:rPr>
          <w:lang w:val="en-US"/>
        </w:rPr>
        <w:t>recommendations under Article 211 of the EU Treaty. These involved</w:t>
      </w:r>
      <w:r w:rsidR="00584BE3">
        <w:rPr>
          <w:lang w:val="en-US"/>
        </w:rPr>
        <w:t xml:space="preserve">, among others, </w:t>
      </w:r>
      <w:r w:rsidR="009D1303" w:rsidRPr="005E26D3">
        <w:rPr>
          <w:lang w:val="en-US"/>
        </w:rPr>
        <w:t>the</w:t>
      </w:r>
      <w:r>
        <w:rPr>
          <w:lang w:val="en-US"/>
        </w:rPr>
        <w:t xml:space="preserve"> </w:t>
      </w:r>
      <w:r w:rsidR="009D1303" w:rsidRPr="005E26D3">
        <w:rPr>
          <w:lang w:val="en-US"/>
        </w:rPr>
        <w:t>adoption of a “comply or explain” regime for listed companies</w:t>
      </w:r>
      <w:r>
        <w:rPr>
          <w:lang w:val="en-US"/>
        </w:rPr>
        <w:t>, the inclusion</w:t>
      </w:r>
      <w:r w:rsidR="009D1303" w:rsidRPr="005E26D3">
        <w:rPr>
          <w:lang w:val="en-US"/>
        </w:rPr>
        <w:t xml:space="preserve"> of</w:t>
      </w:r>
      <w:r>
        <w:rPr>
          <w:lang w:val="en-US"/>
        </w:rPr>
        <w:t xml:space="preserve"> </w:t>
      </w:r>
      <w:r w:rsidR="009D1303" w:rsidRPr="005E26D3">
        <w:rPr>
          <w:lang w:val="en-US"/>
        </w:rPr>
        <w:t>independent directors on boards and the establishment of remuneration, nominations and audit</w:t>
      </w:r>
      <w:r>
        <w:rPr>
          <w:lang w:val="en-US"/>
        </w:rPr>
        <w:t xml:space="preserve"> board committees. </w:t>
      </w:r>
      <w:r w:rsidR="00584BE3">
        <w:rPr>
          <w:lang w:val="en-US"/>
        </w:rPr>
        <w:t xml:space="preserve">Later reforms at national level (e.g. the Italian “Law on Savings”) implemented these recommendations and often gold-plated their prescriptions adding further </w:t>
      </w:r>
      <w:r w:rsidR="00DC1864">
        <w:rPr>
          <w:lang w:val="en-US"/>
        </w:rPr>
        <w:t>gatekeepers</w:t>
      </w:r>
      <w:r w:rsidR="00584BE3">
        <w:rPr>
          <w:lang w:val="en-US"/>
        </w:rPr>
        <w:t>.</w:t>
      </w:r>
    </w:p>
    <w:p w:rsidR="00584BE3" w:rsidRPr="00DC1864" w:rsidRDefault="00584BE3" w:rsidP="00D40FC5">
      <w:pPr>
        <w:pStyle w:val="Paragrafoelenco"/>
        <w:spacing w:afterLines="200" w:line="360" w:lineRule="auto"/>
        <w:jc w:val="both"/>
        <w:rPr>
          <w:lang w:val="en-US"/>
        </w:rPr>
      </w:pPr>
    </w:p>
    <w:p w:rsidR="002A0813" w:rsidRDefault="00141587" w:rsidP="00D40FC5">
      <w:pPr>
        <w:pStyle w:val="Paragrafoelenco"/>
        <w:spacing w:afterLines="200" w:line="360" w:lineRule="auto"/>
        <w:jc w:val="both"/>
        <w:rPr>
          <w:lang w:val="en-GB"/>
        </w:rPr>
      </w:pPr>
      <w:r w:rsidRPr="00DC1864">
        <w:rPr>
          <w:lang w:val="en-US"/>
        </w:rPr>
        <w:t xml:space="preserve">The market and macroeconomic environment before the </w:t>
      </w:r>
      <w:r w:rsidR="00FB5310" w:rsidRPr="00DC1864">
        <w:rPr>
          <w:lang w:val="en-US"/>
        </w:rPr>
        <w:t>2008-2010 financial</w:t>
      </w:r>
      <w:r w:rsidR="00FB5310">
        <w:rPr>
          <w:lang w:val="en-GB"/>
        </w:rPr>
        <w:t xml:space="preserve"> </w:t>
      </w:r>
      <w:r w:rsidRPr="004B4D09">
        <w:rPr>
          <w:lang w:val="en-GB"/>
        </w:rPr>
        <w:t xml:space="preserve">crisis put </w:t>
      </w:r>
      <w:r w:rsidR="00CE3A69">
        <w:rPr>
          <w:lang w:val="en-GB"/>
        </w:rPr>
        <w:t xml:space="preserve">again </w:t>
      </w:r>
      <w:r w:rsidRPr="004B4D09">
        <w:rPr>
          <w:lang w:val="en-GB"/>
        </w:rPr>
        <w:t xml:space="preserve">the corporate </w:t>
      </w:r>
      <w:r>
        <w:rPr>
          <w:lang w:val="en-GB"/>
        </w:rPr>
        <w:t xml:space="preserve">governance systems under stress. </w:t>
      </w:r>
      <w:r w:rsidR="00DC1864">
        <w:rPr>
          <w:lang w:val="en-GB"/>
        </w:rPr>
        <w:t xml:space="preserve">As </w:t>
      </w:r>
      <w:r w:rsidR="00DC1864" w:rsidRPr="004B4D09">
        <w:rPr>
          <w:lang w:val="en-GB"/>
        </w:rPr>
        <w:t xml:space="preserve">new and unusual profit and growth opportunities emerged </w:t>
      </w:r>
      <w:r w:rsidR="00DC1864">
        <w:rPr>
          <w:lang w:val="en-GB"/>
        </w:rPr>
        <w:t>(</w:t>
      </w:r>
      <w:r w:rsidR="00DC1864" w:rsidRPr="004B4D09">
        <w:rPr>
          <w:lang w:val="en-GB"/>
        </w:rPr>
        <w:t>in particular in the financial sector</w:t>
      </w:r>
      <w:r w:rsidR="00DC1864">
        <w:rPr>
          <w:lang w:val="en-GB"/>
        </w:rPr>
        <w:t xml:space="preserve">), </w:t>
      </w:r>
      <w:r w:rsidR="00DC1864" w:rsidRPr="004B4D09">
        <w:rPr>
          <w:lang w:val="en-GB"/>
        </w:rPr>
        <w:t>shareholders exercise</w:t>
      </w:r>
      <w:r w:rsidR="00FA0EA4">
        <w:rPr>
          <w:lang w:val="en-GB"/>
        </w:rPr>
        <w:t>d</w:t>
      </w:r>
      <w:r w:rsidR="00DC1864" w:rsidRPr="004B4D09">
        <w:rPr>
          <w:lang w:val="en-GB"/>
        </w:rPr>
        <w:t xml:space="preserve"> </w:t>
      </w:r>
      <w:r w:rsidR="00DC1864" w:rsidRPr="004B4D09">
        <w:rPr>
          <w:lang w:val="en-GB"/>
        </w:rPr>
        <w:lastRenderedPageBreak/>
        <w:t xml:space="preserve">stronger pressure for short-term results while </w:t>
      </w:r>
      <w:r w:rsidR="00DC1864">
        <w:rPr>
          <w:lang w:val="en-GB"/>
        </w:rPr>
        <w:t xml:space="preserve">they </w:t>
      </w:r>
      <w:r w:rsidR="00DC1864" w:rsidRPr="004B4D09">
        <w:rPr>
          <w:lang w:val="en-GB"/>
        </w:rPr>
        <w:t>neglected their monitoring functions</w:t>
      </w:r>
      <w:r w:rsidR="00DC1864">
        <w:rPr>
          <w:lang w:val="en-GB"/>
        </w:rPr>
        <w:t xml:space="preserve">. At the same time </w:t>
      </w:r>
      <w:r w:rsidR="00DC1864" w:rsidRPr="004B4D09">
        <w:rPr>
          <w:lang w:val="en-GB"/>
        </w:rPr>
        <w:t>boards failed to define and manage a “sustainable” strat</w:t>
      </w:r>
      <w:r w:rsidR="00DC1864">
        <w:rPr>
          <w:lang w:val="en-GB"/>
        </w:rPr>
        <w:t>egy with regard to</w:t>
      </w:r>
      <w:r w:rsidR="00DC1864" w:rsidRPr="004B4D09">
        <w:rPr>
          <w:lang w:val="en-GB"/>
        </w:rPr>
        <w:t xml:space="preserve"> risk appetite and incentive/remuneration mechanisms</w:t>
      </w:r>
      <w:r w:rsidR="00DC1864">
        <w:rPr>
          <w:lang w:val="en-GB"/>
        </w:rPr>
        <w:t>.</w:t>
      </w:r>
    </w:p>
    <w:p w:rsidR="008D356A" w:rsidRPr="00DC1864" w:rsidRDefault="008D356A" w:rsidP="00D40FC5">
      <w:pPr>
        <w:pStyle w:val="Paragrafoelenco"/>
        <w:spacing w:afterLines="200" w:line="360" w:lineRule="auto"/>
        <w:jc w:val="both"/>
        <w:rPr>
          <w:lang w:val="en-GB"/>
        </w:rPr>
      </w:pPr>
    </w:p>
    <w:p w:rsidR="00D15517" w:rsidRDefault="002069BC" w:rsidP="00D40FC5">
      <w:pPr>
        <w:pStyle w:val="Paragrafoelenco"/>
        <w:spacing w:afterLines="200" w:line="360" w:lineRule="auto"/>
        <w:jc w:val="both"/>
        <w:rPr>
          <w:lang w:val="en-US"/>
        </w:rPr>
      </w:pPr>
      <w:r>
        <w:rPr>
          <w:lang w:val="en-GB"/>
        </w:rPr>
        <w:t>A</w:t>
      </w:r>
      <w:r w:rsidR="00A905D3" w:rsidRPr="00DC1864">
        <w:rPr>
          <w:lang w:val="en-GB"/>
        </w:rPr>
        <w:t>s the emphasis shifted from value creation to financial stability,</w:t>
      </w:r>
      <w:r w:rsidR="00832592" w:rsidRPr="00DC1864">
        <w:rPr>
          <w:lang w:val="en-GB"/>
        </w:rPr>
        <w:t xml:space="preserve"> </w:t>
      </w:r>
      <w:r w:rsidR="0078549F" w:rsidRPr="00DC1864">
        <w:rPr>
          <w:lang w:val="en-GB"/>
        </w:rPr>
        <w:t>cor</w:t>
      </w:r>
      <w:r w:rsidR="0078549F">
        <w:rPr>
          <w:lang w:val="en-US"/>
        </w:rPr>
        <w:t xml:space="preserve">porate governance issues </w:t>
      </w:r>
      <w:r w:rsidR="00A905D3">
        <w:rPr>
          <w:lang w:val="en-US"/>
        </w:rPr>
        <w:t xml:space="preserve">were </w:t>
      </w:r>
      <w:r w:rsidR="002D1C69">
        <w:rPr>
          <w:lang w:val="en-US"/>
        </w:rPr>
        <w:t>not necessarily a priority</w:t>
      </w:r>
      <w:r w:rsidR="00A905D3" w:rsidRPr="00A905D3">
        <w:rPr>
          <w:lang w:val="en-US"/>
        </w:rPr>
        <w:t xml:space="preserve"> </w:t>
      </w:r>
      <w:r w:rsidR="002B755B">
        <w:rPr>
          <w:lang w:val="en-US"/>
        </w:rPr>
        <w:t xml:space="preserve">when, in late 2008, </w:t>
      </w:r>
      <w:r w:rsidR="00A905D3">
        <w:rPr>
          <w:lang w:val="en-US"/>
        </w:rPr>
        <w:t xml:space="preserve">the international re-regulatory process </w:t>
      </w:r>
      <w:r w:rsidR="002B755B">
        <w:rPr>
          <w:lang w:val="en-US"/>
        </w:rPr>
        <w:t>started</w:t>
      </w:r>
      <w:r w:rsidR="00A905D3">
        <w:rPr>
          <w:lang w:val="en-US"/>
        </w:rPr>
        <w:t xml:space="preserve">. </w:t>
      </w:r>
      <w:r w:rsidR="00CE3BB6">
        <w:rPr>
          <w:lang w:val="en-US"/>
        </w:rPr>
        <w:t>In the particular case of non-</w:t>
      </w:r>
      <w:proofErr w:type="spellStart"/>
      <w:r w:rsidR="00CE3BB6">
        <w:rPr>
          <w:lang w:val="en-US"/>
        </w:rPr>
        <w:t>anglosaxon</w:t>
      </w:r>
      <w:proofErr w:type="spellEnd"/>
      <w:r w:rsidR="00CE3BB6">
        <w:rPr>
          <w:lang w:val="en-US"/>
        </w:rPr>
        <w:t xml:space="preserve"> countries, </w:t>
      </w:r>
      <w:r w:rsidR="00635C08">
        <w:rPr>
          <w:lang w:val="en-US"/>
        </w:rPr>
        <w:t xml:space="preserve">a system based on </w:t>
      </w:r>
      <w:r w:rsidR="00A905D3">
        <w:rPr>
          <w:lang w:val="en-US"/>
        </w:rPr>
        <w:t>a</w:t>
      </w:r>
      <w:r w:rsidR="00635C08">
        <w:rPr>
          <w:lang w:val="en-US"/>
        </w:rPr>
        <w:t xml:space="preserve"> stronger</w:t>
      </w:r>
      <w:r w:rsidR="00A905D3" w:rsidRPr="004B4D09">
        <w:rPr>
          <w:lang w:val="en-US"/>
        </w:rPr>
        <w:t xml:space="preserve"> power of controlling shareholder</w:t>
      </w:r>
      <w:r w:rsidR="00635C08">
        <w:rPr>
          <w:lang w:val="en-US"/>
        </w:rPr>
        <w:t>s, a l</w:t>
      </w:r>
      <w:r w:rsidR="00A905D3">
        <w:rPr>
          <w:lang w:val="en-US"/>
        </w:rPr>
        <w:t>ess competitive market</w:t>
      </w:r>
      <w:r w:rsidR="00A905D3" w:rsidRPr="004B4D09">
        <w:rPr>
          <w:lang w:val="en-US"/>
        </w:rPr>
        <w:t xml:space="preserve"> for corporate control and </w:t>
      </w:r>
      <w:r w:rsidR="00A905D3">
        <w:rPr>
          <w:lang w:val="en-US"/>
        </w:rPr>
        <w:t>top managers and a (still) modest role of institutional investors did</w:t>
      </w:r>
      <w:r w:rsidR="00832592">
        <w:rPr>
          <w:lang w:val="en-US"/>
        </w:rPr>
        <w:t xml:space="preserve"> </w:t>
      </w:r>
      <w:r w:rsidR="0078549F">
        <w:rPr>
          <w:lang w:val="en-US"/>
        </w:rPr>
        <w:t>not</w:t>
      </w:r>
      <w:r w:rsidR="00A905D3">
        <w:rPr>
          <w:lang w:val="en-US"/>
        </w:rPr>
        <w:t xml:space="preserve"> seem</w:t>
      </w:r>
      <w:r w:rsidR="00635C08">
        <w:rPr>
          <w:lang w:val="en-US"/>
        </w:rPr>
        <w:t xml:space="preserve"> necessarily detrimental as it</w:t>
      </w:r>
      <w:r w:rsidR="0078549F">
        <w:rPr>
          <w:lang w:val="en-US"/>
        </w:rPr>
        <w:t xml:space="preserve"> </w:t>
      </w:r>
      <w:r w:rsidR="00635C08">
        <w:rPr>
          <w:lang w:val="en-US"/>
        </w:rPr>
        <w:t>was</w:t>
      </w:r>
      <w:r w:rsidR="00A905D3">
        <w:rPr>
          <w:lang w:val="en-US"/>
        </w:rPr>
        <w:t xml:space="preserve"> supposed </w:t>
      </w:r>
      <w:r w:rsidR="00947F2B">
        <w:rPr>
          <w:lang w:val="en-US"/>
        </w:rPr>
        <w:t xml:space="preserve">to </w:t>
      </w:r>
      <w:r w:rsidR="00635C08">
        <w:rPr>
          <w:lang w:val="en-US"/>
        </w:rPr>
        <w:t>ensure</w:t>
      </w:r>
      <w:r w:rsidR="0078549F">
        <w:rPr>
          <w:lang w:val="en-US"/>
        </w:rPr>
        <w:t xml:space="preserve"> stability</w:t>
      </w:r>
      <w:r w:rsidR="00832592">
        <w:rPr>
          <w:lang w:val="en-US"/>
        </w:rPr>
        <w:t xml:space="preserve">. </w:t>
      </w:r>
      <w:r w:rsidR="0078549F">
        <w:rPr>
          <w:lang w:val="en-US"/>
        </w:rPr>
        <w:t>Similarly, i</w:t>
      </w:r>
      <w:r w:rsidR="00832592">
        <w:rPr>
          <w:lang w:val="en-US"/>
        </w:rPr>
        <w:t>ssues</w:t>
      </w:r>
      <w:r w:rsidR="00DE248E" w:rsidRPr="004B4D09">
        <w:rPr>
          <w:lang w:val="en-US"/>
        </w:rPr>
        <w:t xml:space="preserve"> arising from the role of the</w:t>
      </w:r>
      <w:r w:rsidR="00832592">
        <w:rPr>
          <w:lang w:val="en-US"/>
        </w:rPr>
        <w:t xml:space="preserve"> State</w:t>
      </w:r>
      <w:r w:rsidR="00635C08">
        <w:rPr>
          <w:lang w:val="en-US"/>
        </w:rPr>
        <w:t xml:space="preserve"> both</w:t>
      </w:r>
      <w:r w:rsidR="00832592">
        <w:rPr>
          <w:lang w:val="en-US"/>
        </w:rPr>
        <w:t xml:space="preserve"> as owner and r</w:t>
      </w:r>
      <w:r w:rsidR="0078549F">
        <w:rPr>
          <w:lang w:val="en-US"/>
        </w:rPr>
        <w:t xml:space="preserve">ule maker </w:t>
      </w:r>
      <w:r w:rsidR="00635C08">
        <w:rPr>
          <w:lang w:val="en-US"/>
        </w:rPr>
        <w:t>were</w:t>
      </w:r>
      <w:r w:rsidR="0078549F">
        <w:rPr>
          <w:lang w:val="en-US"/>
        </w:rPr>
        <w:t xml:space="preserve"> less emphasized</w:t>
      </w:r>
      <w:r w:rsidR="00832592">
        <w:rPr>
          <w:lang w:val="en-US"/>
        </w:rPr>
        <w:t xml:space="preserve"> as many financial firms needed massive equity injections from taxpayers</w:t>
      </w:r>
      <w:r w:rsidR="00FA0EA4">
        <w:rPr>
          <w:lang w:val="en-US"/>
        </w:rPr>
        <w:t xml:space="preserve"> for their bailout</w:t>
      </w:r>
      <w:r w:rsidR="00832592">
        <w:rPr>
          <w:lang w:val="en-US"/>
        </w:rPr>
        <w:t>.</w:t>
      </w:r>
      <w:r w:rsidR="008626AB">
        <w:rPr>
          <w:lang w:val="en-US"/>
        </w:rPr>
        <w:t xml:space="preserve"> </w:t>
      </w:r>
    </w:p>
    <w:p w:rsidR="00D15517" w:rsidRDefault="00D15517" w:rsidP="00D40FC5">
      <w:pPr>
        <w:pStyle w:val="Paragrafoelenco"/>
        <w:spacing w:afterLines="200" w:line="360" w:lineRule="auto"/>
        <w:jc w:val="both"/>
        <w:rPr>
          <w:lang w:val="en-US"/>
        </w:rPr>
      </w:pPr>
    </w:p>
    <w:p w:rsidR="002D1C69" w:rsidRPr="002D1C69" w:rsidRDefault="002D1C69" w:rsidP="00D40FC5">
      <w:pPr>
        <w:pStyle w:val="Paragrafoelenco"/>
        <w:spacing w:afterLines="200" w:line="360" w:lineRule="auto"/>
        <w:jc w:val="both"/>
        <w:rPr>
          <w:rFonts w:ascii="Times New Roman" w:hAnsi="Times New Roman"/>
          <w:iCs/>
          <w:color w:val="000000"/>
          <w:szCs w:val="24"/>
          <w:lang w:val="en-US" w:eastAsia="it-IT"/>
        </w:rPr>
      </w:pPr>
      <w:r>
        <w:rPr>
          <w:rFonts w:ascii="Times New Roman" w:hAnsi="Times New Roman"/>
          <w:color w:val="000000"/>
          <w:szCs w:val="24"/>
          <w:lang w:val="en-US" w:eastAsia="it-IT"/>
        </w:rPr>
        <w:t>However, t</w:t>
      </w:r>
      <w:r w:rsidRPr="008E42D5">
        <w:rPr>
          <w:rFonts w:ascii="Times New Roman" w:hAnsi="Times New Roman"/>
          <w:color w:val="000000"/>
          <w:szCs w:val="24"/>
          <w:lang w:val="en-US" w:eastAsia="it-IT"/>
        </w:rPr>
        <w:t xml:space="preserve">he view that the financial crisis can be </w:t>
      </w:r>
      <w:r>
        <w:rPr>
          <w:rFonts w:ascii="Times New Roman" w:hAnsi="Times New Roman"/>
          <w:color w:val="000000"/>
          <w:szCs w:val="24"/>
          <w:lang w:val="en-US" w:eastAsia="it-IT"/>
        </w:rPr>
        <w:t>in part</w:t>
      </w:r>
      <w:r w:rsidRPr="008E42D5">
        <w:rPr>
          <w:rFonts w:ascii="Times New Roman" w:hAnsi="Times New Roman"/>
          <w:color w:val="000000"/>
          <w:szCs w:val="24"/>
          <w:lang w:val="en-US" w:eastAsia="it-IT"/>
        </w:rPr>
        <w:t xml:space="preserve"> attributed to failures and weaknesses in corporate governance arrangements</w:t>
      </w:r>
      <w:r>
        <w:rPr>
          <w:rFonts w:ascii="Times New Roman" w:hAnsi="Times New Roman"/>
          <w:color w:val="000000"/>
          <w:szCs w:val="24"/>
          <w:lang w:val="en-US" w:eastAsia="it-IT"/>
        </w:rPr>
        <w:t xml:space="preserve"> wa</w:t>
      </w:r>
      <w:r w:rsidRPr="008E42D5">
        <w:rPr>
          <w:rFonts w:ascii="Times New Roman" w:hAnsi="Times New Roman"/>
          <w:color w:val="000000"/>
          <w:szCs w:val="24"/>
          <w:lang w:val="en-US" w:eastAsia="it-IT"/>
        </w:rPr>
        <w:t>s shared b</w:t>
      </w:r>
      <w:r>
        <w:rPr>
          <w:rFonts w:ascii="Times New Roman" w:hAnsi="Times New Roman"/>
          <w:color w:val="000000"/>
          <w:szCs w:val="24"/>
          <w:lang w:val="en-US" w:eastAsia="it-IT"/>
        </w:rPr>
        <w:t xml:space="preserve">y a number of key policy makers in the banking sector, such as the </w:t>
      </w:r>
      <w:r w:rsidRPr="008E42D5">
        <w:rPr>
          <w:rFonts w:ascii="Times New Roman" w:hAnsi="Times New Roman"/>
          <w:i/>
          <w:iCs/>
          <w:color w:val="000000"/>
          <w:szCs w:val="24"/>
          <w:lang w:val="en-US" w:eastAsia="it-IT"/>
        </w:rPr>
        <w:t>UK Financial Services Authority</w:t>
      </w:r>
      <w:r>
        <w:rPr>
          <w:rFonts w:ascii="Times New Roman" w:hAnsi="Times New Roman"/>
          <w:color w:val="000000"/>
          <w:szCs w:val="24"/>
          <w:lang w:val="en-US" w:eastAsia="it-IT"/>
        </w:rPr>
        <w:t xml:space="preserve">, the </w:t>
      </w:r>
      <w:r w:rsidRPr="008E42D5">
        <w:rPr>
          <w:rFonts w:ascii="Times New Roman" w:hAnsi="Times New Roman"/>
          <w:i/>
          <w:iCs/>
          <w:color w:val="000000"/>
          <w:szCs w:val="24"/>
          <w:lang w:val="en-US" w:eastAsia="it-IT"/>
        </w:rPr>
        <w:t>Committee of European Banking Supervisors</w:t>
      </w:r>
      <w:r w:rsidRPr="008E42D5">
        <w:rPr>
          <w:rFonts w:ascii="Times New Roman" w:hAnsi="Times New Roman"/>
          <w:iCs/>
          <w:color w:val="000000"/>
          <w:szCs w:val="24"/>
          <w:lang w:val="en-US" w:eastAsia="it-IT"/>
        </w:rPr>
        <w:t>,</w:t>
      </w:r>
      <w:r>
        <w:rPr>
          <w:rFonts w:ascii="Times New Roman" w:hAnsi="Times New Roman"/>
          <w:iCs/>
          <w:color w:val="000000"/>
          <w:szCs w:val="24"/>
          <w:lang w:val="en-US" w:eastAsia="it-IT"/>
        </w:rPr>
        <w:t xml:space="preserve"> the </w:t>
      </w:r>
      <w:r w:rsidRPr="008E42D5">
        <w:rPr>
          <w:rFonts w:ascii="Times New Roman" w:hAnsi="Times New Roman"/>
          <w:i/>
          <w:iCs/>
          <w:color w:val="000000"/>
          <w:szCs w:val="24"/>
          <w:lang w:val="en-US" w:eastAsia="it-IT"/>
        </w:rPr>
        <w:t>United States Department of the Treasury</w:t>
      </w:r>
      <w:r w:rsidRPr="008E42D5">
        <w:rPr>
          <w:rFonts w:ascii="Times New Roman" w:hAnsi="Times New Roman"/>
          <w:iCs/>
          <w:color w:val="000000"/>
          <w:szCs w:val="24"/>
          <w:lang w:val="en-US" w:eastAsia="it-IT"/>
        </w:rPr>
        <w:t>, etc.</w:t>
      </w:r>
      <w:r>
        <w:rPr>
          <w:rFonts w:ascii="Times New Roman" w:hAnsi="Times New Roman"/>
          <w:iCs/>
          <w:color w:val="000000"/>
          <w:szCs w:val="24"/>
          <w:lang w:val="en-US" w:eastAsia="it-IT"/>
        </w:rPr>
        <w:t xml:space="preserve"> To be sure, during </w:t>
      </w:r>
      <w:r w:rsidRPr="008E42D5">
        <w:rPr>
          <w:rFonts w:ascii="Times New Roman" w:hAnsi="Times New Roman"/>
          <w:szCs w:val="24"/>
          <w:lang w:val="en-US" w:eastAsia="it-IT"/>
        </w:rPr>
        <w:t>the ‘acute phase’ of the financial crisis</w:t>
      </w:r>
      <w:r>
        <w:rPr>
          <w:rFonts w:ascii="Times New Roman" w:hAnsi="Times New Roman"/>
          <w:szCs w:val="24"/>
          <w:lang w:val="en-US" w:eastAsia="it-IT"/>
        </w:rPr>
        <w:t xml:space="preserve">, ensuring sound systems of executive compensation was mainly considered an issue for financial institutions </w:t>
      </w:r>
      <w:r w:rsidRPr="008E42D5">
        <w:rPr>
          <w:rFonts w:ascii="Times New Roman" w:hAnsi="Times New Roman"/>
          <w:szCs w:val="24"/>
          <w:lang w:val="en-US" w:eastAsia="it-IT"/>
        </w:rPr>
        <w:t>that were being rescued by government-sponsored bail-out plans</w:t>
      </w:r>
      <w:r>
        <w:rPr>
          <w:rFonts w:ascii="Times New Roman" w:hAnsi="Times New Roman"/>
          <w:szCs w:val="24"/>
          <w:lang w:val="en-US" w:eastAsia="it-IT"/>
        </w:rPr>
        <w:t xml:space="preserve">. </w:t>
      </w:r>
      <w:r w:rsidR="00D15517">
        <w:rPr>
          <w:rFonts w:ascii="Times New Roman" w:hAnsi="Times New Roman"/>
          <w:szCs w:val="24"/>
          <w:lang w:val="en-US" w:eastAsia="it-IT"/>
        </w:rPr>
        <w:t>After the</w:t>
      </w:r>
      <w:r w:rsidR="002B755B" w:rsidRPr="002B755B">
        <w:rPr>
          <w:rFonts w:ascii="Times New Roman" w:hAnsi="Times New Roman"/>
          <w:szCs w:val="24"/>
          <w:lang w:val="en-US" w:eastAsia="it-IT"/>
        </w:rPr>
        <w:t xml:space="preserve"> first G20 meeting in Washington D.C. on 15 November 2008</w:t>
      </w:r>
      <w:r w:rsidR="00D15517">
        <w:rPr>
          <w:rFonts w:ascii="Times New Roman" w:hAnsi="Times New Roman"/>
          <w:szCs w:val="24"/>
          <w:lang w:val="en-US" w:eastAsia="it-IT"/>
        </w:rPr>
        <w:t xml:space="preserve">, an </w:t>
      </w:r>
      <w:r w:rsidR="003B63DE">
        <w:rPr>
          <w:rFonts w:ascii="Times New Roman" w:hAnsi="Times New Roman"/>
          <w:szCs w:val="24"/>
          <w:lang w:val="en-US" w:eastAsia="it-IT"/>
        </w:rPr>
        <w:t>Action Plan</w:t>
      </w:r>
      <w:r w:rsidR="002B755B" w:rsidRPr="002B755B">
        <w:rPr>
          <w:rFonts w:ascii="Times New Roman" w:hAnsi="Times New Roman"/>
          <w:szCs w:val="24"/>
          <w:lang w:val="en-US" w:eastAsia="it-IT"/>
        </w:rPr>
        <w:t xml:space="preserve"> setting out ‘high priority actions to be completed prior to</w:t>
      </w:r>
      <w:r w:rsidR="00D15517">
        <w:rPr>
          <w:rFonts w:ascii="Times New Roman" w:hAnsi="Times New Roman"/>
          <w:szCs w:val="24"/>
          <w:lang w:val="en-US" w:eastAsia="it-IT"/>
        </w:rPr>
        <w:t xml:space="preserve"> </w:t>
      </w:r>
      <w:r w:rsidR="002B755B" w:rsidRPr="002B755B">
        <w:rPr>
          <w:rFonts w:ascii="Times New Roman" w:hAnsi="Times New Roman"/>
          <w:szCs w:val="24"/>
          <w:lang w:val="en-US" w:eastAsia="it-IT"/>
        </w:rPr>
        <w:t>March 31, 2009’</w:t>
      </w:r>
      <w:r w:rsidR="00D15517">
        <w:rPr>
          <w:rFonts w:ascii="Times New Roman" w:hAnsi="Times New Roman"/>
          <w:szCs w:val="24"/>
          <w:lang w:val="en-US" w:eastAsia="it-IT"/>
        </w:rPr>
        <w:t xml:space="preserve"> and requesting Finance Ministers to </w:t>
      </w:r>
      <w:r w:rsidR="002B755B" w:rsidRPr="002B755B">
        <w:rPr>
          <w:rFonts w:ascii="Times New Roman" w:hAnsi="Times New Roman"/>
          <w:szCs w:val="24"/>
          <w:lang w:val="en-US" w:eastAsia="it-IT"/>
        </w:rPr>
        <w:t>formu</w:t>
      </w:r>
      <w:r w:rsidR="00D15517">
        <w:rPr>
          <w:rFonts w:ascii="Times New Roman" w:hAnsi="Times New Roman"/>
          <w:szCs w:val="24"/>
          <w:lang w:val="en-US" w:eastAsia="it-IT"/>
        </w:rPr>
        <w:t>late additional recommendations</w:t>
      </w:r>
      <w:r w:rsidR="002B755B" w:rsidRPr="002B755B">
        <w:rPr>
          <w:rFonts w:ascii="Times New Roman" w:hAnsi="Times New Roman"/>
          <w:szCs w:val="24"/>
          <w:lang w:val="en-US" w:eastAsia="it-IT"/>
        </w:rPr>
        <w:t xml:space="preserve"> </w:t>
      </w:r>
      <w:r w:rsidR="00D15517">
        <w:rPr>
          <w:rFonts w:ascii="Times New Roman" w:hAnsi="Times New Roman"/>
          <w:szCs w:val="24"/>
          <w:lang w:val="en-US" w:eastAsia="it-IT"/>
        </w:rPr>
        <w:t xml:space="preserve">was published. It </w:t>
      </w:r>
      <w:r w:rsidR="002B755B" w:rsidRPr="002B755B">
        <w:rPr>
          <w:rFonts w:ascii="Times New Roman" w:hAnsi="Times New Roman"/>
          <w:szCs w:val="24"/>
          <w:lang w:val="en-US" w:eastAsia="it-IT"/>
        </w:rPr>
        <w:t>focus</w:t>
      </w:r>
      <w:r w:rsidR="00D15517">
        <w:rPr>
          <w:rFonts w:ascii="Times New Roman" w:hAnsi="Times New Roman"/>
          <w:szCs w:val="24"/>
          <w:lang w:val="en-US" w:eastAsia="it-IT"/>
        </w:rPr>
        <w:t>ed</w:t>
      </w:r>
      <w:r w:rsidR="002B755B" w:rsidRPr="002B755B">
        <w:rPr>
          <w:rFonts w:ascii="Times New Roman" w:hAnsi="Times New Roman"/>
          <w:szCs w:val="24"/>
          <w:lang w:val="en-US" w:eastAsia="it-IT"/>
        </w:rPr>
        <w:t xml:space="preserve"> on </w:t>
      </w:r>
      <w:r w:rsidR="003B63DE">
        <w:rPr>
          <w:rFonts w:ascii="Times New Roman" w:hAnsi="Times New Roman"/>
          <w:szCs w:val="24"/>
          <w:lang w:val="en-US" w:eastAsia="it-IT"/>
        </w:rPr>
        <w:t>identifying sources of systemi</w:t>
      </w:r>
      <w:r w:rsidR="002B755B" w:rsidRPr="002B755B">
        <w:rPr>
          <w:rFonts w:ascii="Times New Roman" w:hAnsi="Times New Roman"/>
          <w:szCs w:val="24"/>
          <w:lang w:val="en-US" w:eastAsia="it-IT"/>
        </w:rPr>
        <w:t xml:space="preserve">c risk, integrating financial supervision, </w:t>
      </w:r>
      <w:r w:rsidR="003B63DE">
        <w:rPr>
          <w:rFonts w:ascii="Times New Roman" w:hAnsi="Times New Roman"/>
          <w:szCs w:val="24"/>
          <w:lang w:val="en-US" w:eastAsia="it-IT"/>
        </w:rPr>
        <w:t>strengthening the capacity</w:t>
      </w:r>
      <w:r w:rsidR="002B755B" w:rsidRPr="002B755B">
        <w:rPr>
          <w:rFonts w:ascii="Times New Roman" w:hAnsi="Times New Roman"/>
          <w:szCs w:val="24"/>
          <w:lang w:val="en-US" w:eastAsia="it-IT"/>
        </w:rPr>
        <w:t xml:space="preserve"> to</w:t>
      </w:r>
      <w:r w:rsidR="00D15517">
        <w:rPr>
          <w:rFonts w:ascii="Times New Roman" w:hAnsi="Times New Roman"/>
          <w:szCs w:val="24"/>
          <w:lang w:val="en-US" w:eastAsia="it-IT"/>
        </w:rPr>
        <w:t xml:space="preserve"> </w:t>
      </w:r>
      <w:r w:rsidR="002B755B" w:rsidRPr="002B755B">
        <w:rPr>
          <w:rFonts w:ascii="Times New Roman" w:hAnsi="Times New Roman"/>
          <w:szCs w:val="24"/>
          <w:lang w:val="en-US" w:eastAsia="it-IT"/>
        </w:rPr>
        <w:t>re</w:t>
      </w:r>
      <w:r w:rsidR="003B63DE">
        <w:rPr>
          <w:rFonts w:ascii="Times New Roman" w:hAnsi="Times New Roman"/>
          <w:szCs w:val="24"/>
          <w:lang w:val="en-US" w:eastAsia="it-IT"/>
        </w:rPr>
        <w:t>act</w:t>
      </w:r>
      <w:r w:rsidR="002B755B" w:rsidRPr="002B755B">
        <w:rPr>
          <w:rFonts w:ascii="Times New Roman" w:hAnsi="Times New Roman"/>
          <w:szCs w:val="24"/>
          <w:lang w:val="en-US" w:eastAsia="it-IT"/>
        </w:rPr>
        <w:t xml:space="preserve"> to crisis and “reviewing compensation practices as they relate to incentives for</w:t>
      </w:r>
      <w:r w:rsidR="00D15517">
        <w:rPr>
          <w:rFonts w:ascii="Times New Roman" w:hAnsi="Times New Roman"/>
          <w:szCs w:val="24"/>
          <w:lang w:val="en-US" w:eastAsia="it-IT"/>
        </w:rPr>
        <w:t xml:space="preserve"> </w:t>
      </w:r>
      <w:r w:rsidR="002B755B" w:rsidRPr="002B755B">
        <w:rPr>
          <w:rFonts w:ascii="Times New Roman" w:hAnsi="Times New Roman"/>
          <w:szCs w:val="24"/>
          <w:lang w:val="en-US" w:eastAsia="it-IT"/>
        </w:rPr>
        <w:t>risk-taking and innovation”.</w:t>
      </w:r>
    </w:p>
    <w:p w:rsidR="002D1C69" w:rsidRDefault="002D1C69" w:rsidP="00D40FC5">
      <w:pPr>
        <w:pStyle w:val="Paragrafoelenco"/>
        <w:spacing w:afterLines="200" w:line="360" w:lineRule="auto"/>
        <w:jc w:val="both"/>
        <w:rPr>
          <w:rFonts w:ascii="Times New Roman" w:hAnsi="Times New Roman"/>
          <w:szCs w:val="24"/>
          <w:lang w:val="en-US" w:eastAsia="it-IT"/>
        </w:rPr>
      </w:pPr>
    </w:p>
    <w:p w:rsidR="00537D4D" w:rsidRDefault="002B755B" w:rsidP="00D40FC5">
      <w:pPr>
        <w:pStyle w:val="Paragrafoelenco"/>
        <w:spacing w:afterLines="200" w:line="360" w:lineRule="auto"/>
        <w:jc w:val="both"/>
        <w:rPr>
          <w:rFonts w:ascii="Times New Roman" w:hAnsi="Times New Roman"/>
          <w:szCs w:val="24"/>
          <w:lang w:val="en-US" w:eastAsia="it-IT"/>
        </w:rPr>
      </w:pPr>
      <w:r w:rsidRPr="002B755B">
        <w:rPr>
          <w:rFonts w:ascii="Times New Roman" w:hAnsi="Times New Roman"/>
          <w:szCs w:val="24"/>
          <w:lang w:val="en-US" w:eastAsia="it-IT"/>
        </w:rPr>
        <w:t xml:space="preserve"> </w:t>
      </w:r>
      <w:r w:rsidR="002D1C69">
        <w:rPr>
          <w:lang w:val="en-GB"/>
        </w:rPr>
        <w:t xml:space="preserve">The Basel Committee worked extensively on this issue and set up specific (and more compelling) rules on compensation practices for financial firms. </w:t>
      </w:r>
      <w:r w:rsidR="002D1C69" w:rsidRPr="00874F62">
        <w:rPr>
          <w:lang w:val="en-US"/>
        </w:rPr>
        <w:t xml:space="preserve">In November 2008 </w:t>
      </w:r>
      <w:r w:rsidR="002D1C69">
        <w:rPr>
          <w:lang w:val="en-US"/>
        </w:rPr>
        <w:t>i</w:t>
      </w:r>
      <w:r w:rsidR="002D1C69" w:rsidRPr="00874F62">
        <w:rPr>
          <w:lang w:val="en-US"/>
        </w:rPr>
        <w:t xml:space="preserve">t </w:t>
      </w:r>
      <w:r w:rsidR="002D1C69">
        <w:rPr>
          <w:lang w:val="en-US"/>
        </w:rPr>
        <w:t>started</w:t>
      </w:r>
      <w:r w:rsidR="002D1C69" w:rsidRPr="00874F62">
        <w:rPr>
          <w:lang w:val="en-US"/>
        </w:rPr>
        <w:t xml:space="preserve"> a consultation</w:t>
      </w:r>
      <w:r w:rsidR="002D1C69">
        <w:rPr>
          <w:lang w:val="en-US"/>
        </w:rPr>
        <w:t xml:space="preserve"> </w:t>
      </w:r>
      <w:r w:rsidR="002D1C69" w:rsidRPr="00874F62">
        <w:rPr>
          <w:lang w:val="en-US"/>
        </w:rPr>
        <w:t xml:space="preserve">process to </w:t>
      </w:r>
      <w:r w:rsidR="002D1C69">
        <w:rPr>
          <w:lang w:val="en-US"/>
        </w:rPr>
        <w:t>update</w:t>
      </w:r>
      <w:r w:rsidR="002D1C69" w:rsidRPr="00874F62">
        <w:rPr>
          <w:lang w:val="en-US"/>
        </w:rPr>
        <w:t xml:space="preserve"> the Basel II Framework</w:t>
      </w:r>
      <w:r w:rsidR="002D1C69">
        <w:rPr>
          <w:lang w:val="en-US"/>
        </w:rPr>
        <w:t xml:space="preserve"> </w:t>
      </w:r>
      <w:r w:rsidR="002D1C69" w:rsidRPr="00874F62">
        <w:rPr>
          <w:lang w:val="en-US"/>
        </w:rPr>
        <w:t>w</w:t>
      </w:r>
      <w:r w:rsidR="002D1C69">
        <w:rPr>
          <w:lang w:val="en-US"/>
        </w:rPr>
        <w:t>hich, u</w:t>
      </w:r>
      <w:r w:rsidR="002D1C69" w:rsidRPr="00874F62">
        <w:rPr>
          <w:lang w:val="en-US"/>
        </w:rPr>
        <w:t>nder ‘sound compensation practices’ endorses the</w:t>
      </w:r>
      <w:r w:rsidR="002D1C69">
        <w:rPr>
          <w:lang w:val="en-US"/>
        </w:rPr>
        <w:t xml:space="preserve"> </w:t>
      </w:r>
      <w:r w:rsidR="002D1C69" w:rsidRPr="00874F62">
        <w:rPr>
          <w:lang w:val="en-US"/>
        </w:rPr>
        <w:t>FSF’s ‘Principles for Sound Compensation Practices’.</w:t>
      </w:r>
      <w:r w:rsidR="002D1C69">
        <w:rPr>
          <w:lang w:val="en-US"/>
        </w:rPr>
        <w:t xml:space="preserve"> </w:t>
      </w:r>
      <w:r w:rsidR="003B63DE">
        <w:rPr>
          <w:rFonts w:ascii="Times New Roman" w:hAnsi="Times New Roman"/>
          <w:szCs w:val="24"/>
          <w:lang w:val="en-US" w:eastAsia="it-IT"/>
        </w:rPr>
        <w:t>T</w:t>
      </w:r>
      <w:r w:rsidRPr="002B755B">
        <w:rPr>
          <w:rFonts w:ascii="Times New Roman" w:hAnsi="Times New Roman"/>
          <w:szCs w:val="24"/>
          <w:lang w:val="en-US" w:eastAsia="it-IT"/>
        </w:rPr>
        <w:t>he Financial Stability Forum (FSF</w:t>
      </w:r>
      <w:r w:rsidR="003B63DE">
        <w:rPr>
          <w:rFonts w:ascii="Times New Roman" w:hAnsi="Times New Roman"/>
          <w:szCs w:val="24"/>
          <w:lang w:val="en-US" w:eastAsia="it-IT"/>
        </w:rPr>
        <w:t xml:space="preserve">, meanwhile </w:t>
      </w:r>
      <w:r w:rsidR="00DA0B2C">
        <w:rPr>
          <w:rFonts w:ascii="Times New Roman" w:hAnsi="Times New Roman"/>
          <w:szCs w:val="24"/>
          <w:lang w:val="en-US" w:eastAsia="it-IT"/>
        </w:rPr>
        <w:t>strengthened to implement G20 deliberations and</w:t>
      </w:r>
      <w:r w:rsidR="003B63DE">
        <w:rPr>
          <w:rFonts w:ascii="Times New Roman" w:hAnsi="Times New Roman"/>
          <w:szCs w:val="24"/>
          <w:lang w:val="en-US" w:eastAsia="it-IT"/>
        </w:rPr>
        <w:t xml:space="preserve"> </w:t>
      </w:r>
      <w:r w:rsidR="00DA0B2C">
        <w:rPr>
          <w:rFonts w:ascii="Times New Roman" w:hAnsi="Times New Roman"/>
          <w:szCs w:val="24"/>
          <w:lang w:val="en-US" w:eastAsia="it-IT"/>
        </w:rPr>
        <w:t xml:space="preserve">renamed </w:t>
      </w:r>
      <w:r w:rsidR="003B63DE">
        <w:rPr>
          <w:rFonts w:ascii="Times New Roman" w:hAnsi="Times New Roman"/>
          <w:szCs w:val="24"/>
          <w:lang w:val="en-US" w:eastAsia="it-IT"/>
        </w:rPr>
        <w:t>Financial Stability Board, FSB</w:t>
      </w:r>
      <w:r w:rsidRPr="002B755B">
        <w:rPr>
          <w:rFonts w:ascii="Times New Roman" w:hAnsi="Times New Roman"/>
          <w:szCs w:val="24"/>
          <w:lang w:val="en-US" w:eastAsia="it-IT"/>
        </w:rPr>
        <w:t xml:space="preserve">) </w:t>
      </w:r>
      <w:r w:rsidR="003B63DE">
        <w:rPr>
          <w:rFonts w:ascii="Times New Roman" w:hAnsi="Times New Roman"/>
          <w:szCs w:val="24"/>
          <w:lang w:val="en-US" w:eastAsia="it-IT"/>
        </w:rPr>
        <w:t>later</w:t>
      </w:r>
      <w:r w:rsidRPr="002B755B">
        <w:rPr>
          <w:rFonts w:ascii="Times New Roman" w:hAnsi="Times New Roman"/>
          <w:szCs w:val="24"/>
          <w:lang w:val="en-US" w:eastAsia="it-IT"/>
        </w:rPr>
        <w:t xml:space="preserve"> published </w:t>
      </w:r>
      <w:r w:rsidR="00874F62" w:rsidRPr="002B755B">
        <w:rPr>
          <w:rFonts w:ascii="Times New Roman" w:hAnsi="Times New Roman"/>
          <w:szCs w:val="24"/>
          <w:lang w:val="en-US" w:eastAsia="it-IT"/>
        </w:rPr>
        <w:t>“</w:t>
      </w:r>
      <w:r w:rsidRPr="002B755B">
        <w:rPr>
          <w:rFonts w:ascii="Times New Roman" w:hAnsi="Times New Roman"/>
          <w:szCs w:val="24"/>
          <w:lang w:val="en-US" w:eastAsia="it-IT"/>
        </w:rPr>
        <w:t>Principles</w:t>
      </w:r>
      <w:r w:rsidR="00D15517">
        <w:rPr>
          <w:rFonts w:ascii="Times New Roman" w:hAnsi="Times New Roman"/>
          <w:szCs w:val="24"/>
          <w:lang w:val="en-US" w:eastAsia="it-IT"/>
        </w:rPr>
        <w:t xml:space="preserve"> </w:t>
      </w:r>
      <w:r w:rsidRPr="002B755B">
        <w:rPr>
          <w:rFonts w:ascii="Times New Roman" w:hAnsi="Times New Roman"/>
          <w:szCs w:val="24"/>
          <w:lang w:val="en-US" w:eastAsia="it-IT"/>
        </w:rPr>
        <w:t>for Sound Compensation Practices for financial institutions to prevent incentives towards</w:t>
      </w:r>
      <w:r w:rsidR="00D15517">
        <w:rPr>
          <w:rFonts w:ascii="Times New Roman" w:hAnsi="Times New Roman"/>
          <w:szCs w:val="24"/>
          <w:lang w:val="en-US" w:eastAsia="it-IT"/>
        </w:rPr>
        <w:t xml:space="preserve"> </w:t>
      </w:r>
      <w:r w:rsidRPr="002B755B">
        <w:rPr>
          <w:rFonts w:ascii="Times New Roman" w:hAnsi="Times New Roman"/>
          <w:szCs w:val="24"/>
          <w:lang w:val="en-US" w:eastAsia="it-IT"/>
        </w:rPr>
        <w:lastRenderedPageBreak/>
        <w:t xml:space="preserve">excessive risk-taking that may arise from compensation schemes” (FSF, 2009b). </w:t>
      </w:r>
      <w:r w:rsidR="002D1C69" w:rsidRPr="009F5B68">
        <w:rPr>
          <w:rFonts w:ascii="Times New Roman" w:hAnsi="Times New Roman"/>
          <w:szCs w:val="24"/>
          <w:lang w:val="en-US" w:eastAsia="it-IT"/>
        </w:rPr>
        <w:t>These principles have been followed by a set of Implementation Standards which provide more specific guidance on compensation governance, structure and disclosure.</w:t>
      </w:r>
    </w:p>
    <w:p w:rsidR="00537D4D" w:rsidRDefault="00537D4D" w:rsidP="00D40FC5">
      <w:pPr>
        <w:pStyle w:val="Paragrafoelenco"/>
        <w:spacing w:afterLines="200" w:line="360" w:lineRule="auto"/>
        <w:jc w:val="both"/>
        <w:rPr>
          <w:rFonts w:ascii="Times New Roman" w:hAnsi="Times New Roman"/>
          <w:szCs w:val="24"/>
          <w:lang w:val="en-US" w:eastAsia="it-IT"/>
        </w:rPr>
      </w:pPr>
    </w:p>
    <w:p w:rsidR="002069BC" w:rsidRDefault="002069BC" w:rsidP="00D40FC5">
      <w:pPr>
        <w:pStyle w:val="Paragrafoelenco"/>
        <w:spacing w:afterLines="200" w:line="360" w:lineRule="auto"/>
        <w:jc w:val="both"/>
        <w:rPr>
          <w:rFonts w:ascii="Times New Roman" w:hAnsi="Times New Roman"/>
          <w:szCs w:val="24"/>
          <w:lang w:val="en-US" w:eastAsia="it-IT"/>
        </w:rPr>
      </w:pPr>
      <w:r>
        <w:rPr>
          <w:rFonts w:ascii="Times New Roman" w:hAnsi="Times New Roman"/>
          <w:szCs w:val="24"/>
          <w:lang w:val="en-US" w:eastAsia="it-IT"/>
        </w:rPr>
        <w:t>I</w:t>
      </w:r>
      <w:r w:rsidR="008E42D5">
        <w:rPr>
          <w:rFonts w:ascii="Times New Roman" w:hAnsi="Times New Roman"/>
          <w:szCs w:val="24"/>
          <w:lang w:val="en-US" w:eastAsia="it-IT"/>
        </w:rPr>
        <w:t>t soon became clear that ensuring better alignment of shareholders</w:t>
      </w:r>
      <w:r w:rsidR="002E7D6B">
        <w:rPr>
          <w:rFonts w:ascii="Times New Roman" w:hAnsi="Times New Roman"/>
          <w:szCs w:val="24"/>
          <w:lang w:val="en-US" w:eastAsia="it-IT"/>
        </w:rPr>
        <w:t>’</w:t>
      </w:r>
      <w:r w:rsidR="008E42D5">
        <w:rPr>
          <w:rFonts w:ascii="Times New Roman" w:hAnsi="Times New Roman"/>
          <w:szCs w:val="24"/>
          <w:lang w:val="en-US" w:eastAsia="it-IT"/>
        </w:rPr>
        <w:t xml:space="preserve"> and </w:t>
      </w:r>
      <w:r w:rsidR="002E7D6B">
        <w:rPr>
          <w:rFonts w:ascii="Times New Roman" w:hAnsi="Times New Roman"/>
          <w:szCs w:val="24"/>
          <w:lang w:val="en-US" w:eastAsia="it-IT"/>
        </w:rPr>
        <w:t xml:space="preserve">corporate </w:t>
      </w:r>
      <w:r w:rsidR="008E42D5">
        <w:rPr>
          <w:rFonts w:ascii="Times New Roman" w:hAnsi="Times New Roman"/>
          <w:szCs w:val="24"/>
          <w:lang w:val="en-US" w:eastAsia="it-IT"/>
        </w:rPr>
        <w:t xml:space="preserve"> </w:t>
      </w:r>
      <w:r w:rsidR="002E7D6B">
        <w:rPr>
          <w:rFonts w:ascii="Times New Roman" w:hAnsi="Times New Roman"/>
          <w:szCs w:val="24"/>
          <w:lang w:val="en-US" w:eastAsia="it-IT"/>
        </w:rPr>
        <w:t xml:space="preserve">directors’ </w:t>
      </w:r>
      <w:r w:rsidR="008E42D5">
        <w:rPr>
          <w:rFonts w:ascii="Times New Roman" w:hAnsi="Times New Roman"/>
          <w:szCs w:val="24"/>
          <w:lang w:val="en-US" w:eastAsia="it-IT"/>
        </w:rPr>
        <w:t xml:space="preserve">incentives through well-designed compensation packages </w:t>
      </w:r>
      <w:r w:rsidR="002E7D6B">
        <w:rPr>
          <w:rFonts w:ascii="Times New Roman" w:hAnsi="Times New Roman"/>
          <w:szCs w:val="24"/>
          <w:lang w:val="en-US" w:eastAsia="it-IT"/>
        </w:rPr>
        <w:t xml:space="preserve">was </w:t>
      </w:r>
      <w:r w:rsidR="007F2D96">
        <w:rPr>
          <w:rFonts w:ascii="Times New Roman" w:hAnsi="Times New Roman"/>
          <w:szCs w:val="24"/>
          <w:lang w:val="en-US" w:eastAsia="it-IT"/>
        </w:rPr>
        <w:t xml:space="preserve">also </w:t>
      </w:r>
      <w:r w:rsidR="002E7D6B">
        <w:rPr>
          <w:rFonts w:ascii="Times New Roman" w:hAnsi="Times New Roman"/>
          <w:szCs w:val="24"/>
          <w:lang w:val="en-US" w:eastAsia="it-IT"/>
        </w:rPr>
        <w:t xml:space="preserve">a more general problem involving </w:t>
      </w:r>
      <w:r w:rsidR="006438A8">
        <w:rPr>
          <w:rFonts w:ascii="Times New Roman" w:hAnsi="Times New Roman"/>
          <w:szCs w:val="24"/>
          <w:lang w:val="en-US" w:eastAsia="it-IT"/>
        </w:rPr>
        <w:t>non-financial</w:t>
      </w:r>
      <w:r w:rsidR="002E7D6B">
        <w:rPr>
          <w:rFonts w:ascii="Times New Roman" w:hAnsi="Times New Roman"/>
          <w:szCs w:val="24"/>
          <w:lang w:val="en-US" w:eastAsia="it-IT"/>
        </w:rPr>
        <w:t xml:space="preserve"> companies.</w:t>
      </w:r>
      <w:r w:rsidR="006438A8">
        <w:rPr>
          <w:rFonts w:ascii="Times New Roman" w:hAnsi="Times New Roman"/>
          <w:szCs w:val="24"/>
          <w:lang w:val="en-US" w:eastAsia="it-IT"/>
        </w:rPr>
        <w:t xml:space="preserve"> </w:t>
      </w:r>
      <w:r w:rsidR="00802C42">
        <w:rPr>
          <w:lang w:val="en-GB"/>
        </w:rPr>
        <w:t xml:space="preserve">Introducing a </w:t>
      </w:r>
      <w:r w:rsidR="00802C42" w:rsidRPr="00DC1864">
        <w:rPr>
          <w:lang w:val="en-GB"/>
        </w:rPr>
        <w:t>mandatory regime for board</w:t>
      </w:r>
      <w:r w:rsidR="00802C42">
        <w:rPr>
          <w:lang w:val="en-GB"/>
        </w:rPr>
        <w:t xml:space="preserve"> remuneration</w:t>
      </w:r>
      <w:r w:rsidR="00802C42" w:rsidRPr="00DC1864">
        <w:rPr>
          <w:lang w:val="en-GB"/>
        </w:rPr>
        <w:t xml:space="preserve"> </w:t>
      </w:r>
      <w:r w:rsidR="00802C42">
        <w:rPr>
          <w:lang w:val="en-GB"/>
        </w:rPr>
        <w:t xml:space="preserve">was </w:t>
      </w:r>
      <w:r w:rsidR="003B63DE">
        <w:rPr>
          <w:lang w:val="en-GB"/>
        </w:rPr>
        <w:t>then</w:t>
      </w:r>
      <w:r w:rsidR="00851D1E">
        <w:rPr>
          <w:lang w:val="en-GB"/>
        </w:rPr>
        <w:t xml:space="preserve"> the </w:t>
      </w:r>
      <w:r w:rsidR="003B63DE">
        <w:rPr>
          <w:lang w:val="en-GB"/>
        </w:rPr>
        <w:t>key</w:t>
      </w:r>
      <w:r w:rsidR="00802C42">
        <w:rPr>
          <w:lang w:val="en-GB"/>
        </w:rPr>
        <w:t xml:space="preserve"> corporate governance </w:t>
      </w:r>
      <w:r w:rsidR="00851D1E">
        <w:rPr>
          <w:lang w:val="en-GB"/>
        </w:rPr>
        <w:t>reform</w:t>
      </w:r>
      <w:r w:rsidR="00802C42">
        <w:rPr>
          <w:lang w:val="en-GB"/>
        </w:rPr>
        <w:t xml:space="preserve"> </w:t>
      </w:r>
      <w:r w:rsidR="003B63DE">
        <w:rPr>
          <w:lang w:val="en-GB"/>
        </w:rPr>
        <w:t>introduced</w:t>
      </w:r>
      <w:r w:rsidR="00802C42">
        <w:rPr>
          <w:lang w:val="en-GB"/>
        </w:rPr>
        <w:t xml:space="preserve"> </w:t>
      </w:r>
      <w:r w:rsidR="00851D1E">
        <w:rPr>
          <w:lang w:val="en-GB"/>
        </w:rPr>
        <w:t>both</w:t>
      </w:r>
      <w:r w:rsidR="002E7D6B">
        <w:rPr>
          <w:lang w:val="en-GB"/>
        </w:rPr>
        <w:t xml:space="preserve"> </w:t>
      </w:r>
      <w:r w:rsidR="00851D1E">
        <w:rPr>
          <w:lang w:val="en-GB"/>
        </w:rPr>
        <w:t>in the EU and in the US</w:t>
      </w:r>
      <w:r w:rsidR="002E7D6B" w:rsidRPr="002E7D6B">
        <w:rPr>
          <w:lang w:val="en-GB"/>
        </w:rPr>
        <w:t xml:space="preserve"> </w:t>
      </w:r>
      <w:r w:rsidR="002E7D6B">
        <w:rPr>
          <w:lang w:val="en-GB"/>
        </w:rPr>
        <w:t>for financial and non-financial firms</w:t>
      </w:r>
      <w:r w:rsidR="001E376F">
        <w:rPr>
          <w:lang w:val="en-GB"/>
        </w:rPr>
        <w:t xml:space="preserve">. As for the US, </w:t>
      </w:r>
      <w:r w:rsidR="00111F99">
        <w:rPr>
          <w:lang w:val="en-GB"/>
        </w:rPr>
        <w:t xml:space="preserve">a </w:t>
      </w:r>
      <w:r w:rsidR="00BD7C95">
        <w:rPr>
          <w:lang w:val="en-GB"/>
        </w:rPr>
        <w:t>c</w:t>
      </w:r>
      <w:proofErr w:type="spellStart"/>
      <w:r w:rsidR="00BD7C95" w:rsidRPr="00BD7C95">
        <w:rPr>
          <w:rFonts w:ascii="Times New Roman" w:hAnsi="Times New Roman"/>
          <w:szCs w:val="24"/>
          <w:lang w:val="en-US" w:eastAsia="it-IT"/>
        </w:rPr>
        <w:t>omprehensive</w:t>
      </w:r>
      <w:proofErr w:type="spellEnd"/>
      <w:r w:rsidR="00BD7C95" w:rsidRPr="00BD7C95">
        <w:rPr>
          <w:rFonts w:ascii="Times New Roman" w:hAnsi="Times New Roman"/>
          <w:szCs w:val="24"/>
          <w:lang w:val="en-US" w:eastAsia="it-IT"/>
        </w:rPr>
        <w:t xml:space="preserve"> financial regulatory reform, </w:t>
      </w:r>
      <w:r w:rsidR="00111F99" w:rsidRPr="00BD7C95">
        <w:rPr>
          <w:rFonts w:ascii="Times New Roman" w:hAnsi="Times New Roman"/>
          <w:szCs w:val="24"/>
          <w:lang w:val="en-US" w:eastAsia="it-IT"/>
        </w:rPr>
        <w:t>entitled “Dodd-Frank</w:t>
      </w:r>
      <w:r w:rsidR="00111F99">
        <w:rPr>
          <w:rFonts w:ascii="Times New Roman" w:hAnsi="Times New Roman"/>
          <w:szCs w:val="24"/>
          <w:lang w:val="en-US" w:eastAsia="it-IT"/>
        </w:rPr>
        <w:t xml:space="preserve"> </w:t>
      </w:r>
      <w:r w:rsidR="00111F99" w:rsidRPr="00BD7C95">
        <w:rPr>
          <w:rFonts w:ascii="Times New Roman" w:hAnsi="Times New Roman"/>
          <w:szCs w:val="24"/>
          <w:lang w:val="en-US" w:eastAsia="it-IT"/>
        </w:rPr>
        <w:t>Wall Street Reform and Consumer Protection Act”</w:t>
      </w:r>
      <w:r w:rsidR="00111F99">
        <w:rPr>
          <w:rFonts w:ascii="Times New Roman" w:hAnsi="Times New Roman"/>
          <w:szCs w:val="24"/>
          <w:lang w:val="en-US" w:eastAsia="it-IT"/>
        </w:rPr>
        <w:t xml:space="preserve">, </w:t>
      </w:r>
      <w:r w:rsidR="00111F99" w:rsidRPr="00BD7C95">
        <w:rPr>
          <w:rFonts w:ascii="Times New Roman" w:hAnsi="Times New Roman"/>
          <w:szCs w:val="24"/>
          <w:lang w:val="en-US" w:eastAsia="it-IT"/>
        </w:rPr>
        <w:t>was enacted on 21 July 2010</w:t>
      </w:r>
      <w:r w:rsidR="00111F99">
        <w:rPr>
          <w:rFonts w:ascii="Times New Roman" w:hAnsi="Times New Roman"/>
          <w:szCs w:val="24"/>
          <w:lang w:val="en-US" w:eastAsia="it-IT"/>
        </w:rPr>
        <w:t xml:space="preserve">. It </w:t>
      </w:r>
      <w:r w:rsidR="00BD7C95" w:rsidRPr="00BD7C95">
        <w:rPr>
          <w:rFonts w:ascii="Times New Roman" w:hAnsi="Times New Roman"/>
          <w:szCs w:val="24"/>
          <w:lang w:val="en-US" w:eastAsia="it-IT"/>
        </w:rPr>
        <w:t>includ</w:t>
      </w:r>
      <w:r w:rsidR="00111F99">
        <w:rPr>
          <w:rFonts w:ascii="Times New Roman" w:hAnsi="Times New Roman"/>
          <w:szCs w:val="24"/>
          <w:lang w:val="en-US" w:eastAsia="it-IT"/>
        </w:rPr>
        <w:t xml:space="preserve">ed </w:t>
      </w:r>
      <w:r w:rsidR="00BD7C95" w:rsidRPr="00BD7C95">
        <w:rPr>
          <w:rFonts w:ascii="Times New Roman" w:hAnsi="Times New Roman"/>
          <w:szCs w:val="24"/>
          <w:lang w:val="en-US" w:eastAsia="it-IT"/>
        </w:rPr>
        <w:t xml:space="preserve"> </w:t>
      </w:r>
      <w:r w:rsidR="00BD7C95">
        <w:rPr>
          <w:rFonts w:ascii="Times New Roman" w:hAnsi="Times New Roman"/>
          <w:szCs w:val="24"/>
          <w:lang w:val="en-US" w:eastAsia="it-IT"/>
        </w:rPr>
        <w:t xml:space="preserve">not only </w:t>
      </w:r>
      <w:r w:rsidR="00BD7C95" w:rsidRPr="00BD7C95">
        <w:rPr>
          <w:rFonts w:ascii="Times New Roman" w:hAnsi="Times New Roman"/>
          <w:szCs w:val="24"/>
          <w:lang w:val="en-US" w:eastAsia="it-IT"/>
        </w:rPr>
        <w:t>executive compensation</w:t>
      </w:r>
      <w:r w:rsidR="00BD7C95">
        <w:rPr>
          <w:rFonts w:ascii="Times New Roman" w:hAnsi="Times New Roman"/>
          <w:szCs w:val="24"/>
          <w:lang w:val="en-US" w:eastAsia="it-IT"/>
        </w:rPr>
        <w:t xml:space="preserve"> but also</w:t>
      </w:r>
      <w:r w:rsidR="00BD7C95" w:rsidRPr="00BD7C95">
        <w:rPr>
          <w:rFonts w:ascii="Times New Roman" w:hAnsi="Times New Roman"/>
          <w:szCs w:val="24"/>
          <w:lang w:val="en-US" w:eastAsia="it-IT"/>
        </w:rPr>
        <w:t xml:space="preserve"> investor protection and hedge fund and credit rating</w:t>
      </w:r>
      <w:r w:rsidR="00BD7C95">
        <w:rPr>
          <w:rFonts w:ascii="Times New Roman" w:hAnsi="Times New Roman"/>
          <w:szCs w:val="24"/>
          <w:lang w:val="en-US" w:eastAsia="it-IT"/>
        </w:rPr>
        <w:t xml:space="preserve"> </w:t>
      </w:r>
      <w:r w:rsidR="00BD7C95" w:rsidRPr="00BD7C95">
        <w:rPr>
          <w:rFonts w:ascii="Times New Roman" w:hAnsi="Times New Roman"/>
          <w:szCs w:val="24"/>
          <w:lang w:val="en-US" w:eastAsia="it-IT"/>
        </w:rPr>
        <w:t>provisions.</w:t>
      </w:r>
    </w:p>
    <w:p w:rsidR="002069BC" w:rsidRDefault="002069BC" w:rsidP="00D40FC5">
      <w:pPr>
        <w:pStyle w:val="Paragrafoelenco"/>
        <w:spacing w:afterLines="200" w:line="360" w:lineRule="auto"/>
        <w:jc w:val="both"/>
        <w:rPr>
          <w:rFonts w:ascii="Times New Roman" w:hAnsi="Times New Roman"/>
          <w:szCs w:val="24"/>
          <w:lang w:val="en-US" w:eastAsia="it-IT"/>
        </w:rPr>
      </w:pPr>
    </w:p>
    <w:p w:rsidR="00874F62" w:rsidRDefault="00BD7C95" w:rsidP="00D40FC5">
      <w:pPr>
        <w:pStyle w:val="Paragrafoelenco"/>
        <w:spacing w:afterLines="200" w:line="360" w:lineRule="auto"/>
        <w:jc w:val="both"/>
        <w:rPr>
          <w:rFonts w:ascii="Times New Roman" w:hAnsi="Times New Roman"/>
          <w:szCs w:val="24"/>
          <w:lang w:val="en-US" w:eastAsia="it-IT"/>
        </w:rPr>
      </w:pPr>
      <w:r>
        <w:rPr>
          <w:lang w:val="en-GB"/>
        </w:rPr>
        <w:t>T</w:t>
      </w:r>
      <w:r w:rsidR="001E376F" w:rsidRPr="00CE3A69">
        <w:rPr>
          <w:lang w:val="en-US"/>
        </w:rPr>
        <w:t>he Dodd–Frank Wall Street Reform and Consumer Protection Act</w:t>
      </w:r>
      <w:r w:rsidR="001E376F" w:rsidRPr="001E376F">
        <w:rPr>
          <w:lang w:val="en-GB"/>
        </w:rPr>
        <w:t xml:space="preserve"> </w:t>
      </w:r>
      <w:r w:rsidR="001E376F">
        <w:rPr>
          <w:lang w:val="en-GB"/>
        </w:rPr>
        <w:t xml:space="preserve">envisaged </w:t>
      </w:r>
      <w:r w:rsidR="006C289C" w:rsidRPr="006C289C">
        <w:rPr>
          <w:lang w:val="en-US"/>
        </w:rPr>
        <w:t>rules applicable to all public companies, including the authorization of the SEC to grant shareholders access to</w:t>
      </w:r>
      <w:r w:rsidR="006C289C">
        <w:rPr>
          <w:lang w:val="en-US"/>
        </w:rPr>
        <w:t xml:space="preserve"> </w:t>
      </w:r>
      <w:r w:rsidR="006C289C" w:rsidRPr="006C289C">
        <w:rPr>
          <w:lang w:val="en-US"/>
        </w:rPr>
        <w:t>companies’ proxy materials to nominate directors, the requirement for an annual ‘say on</w:t>
      </w:r>
      <w:r w:rsidR="006C289C">
        <w:rPr>
          <w:lang w:val="en-US"/>
        </w:rPr>
        <w:t xml:space="preserve"> </w:t>
      </w:r>
      <w:r w:rsidR="006C289C" w:rsidRPr="006C289C">
        <w:rPr>
          <w:lang w:val="en-US"/>
        </w:rPr>
        <w:t xml:space="preserve">pay’ vote at </w:t>
      </w:r>
      <w:r w:rsidR="006C289C">
        <w:rPr>
          <w:lang w:val="en-US"/>
        </w:rPr>
        <w:t>listed</w:t>
      </w:r>
      <w:r w:rsidR="006C289C" w:rsidRPr="006C289C">
        <w:rPr>
          <w:lang w:val="en-US"/>
        </w:rPr>
        <w:t xml:space="preserve"> companies</w:t>
      </w:r>
      <w:r w:rsidR="006C289C">
        <w:rPr>
          <w:lang w:val="en-US"/>
        </w:rPr>
        <w:t xml:space="preserve">’ </w:t>
      </w:r>
      <w:r w:rsidR="00CE3BB6">
        <w:rPr>
          <w:lang w:val="en-US"/>
        </w:rPr>
        <w:t>annual general meetings (</w:t>
      </w:r>
      <w:r w:rsidR="006C289C">
        <w:rPr>
          <w:lang w:val="en-US"/>
        </w:rPr>
        <w:t>AGMs</w:t>
      </w:r>
      <w:r w:rsidR="00CE3BB6">
        <w:rPr>
          <w:lang w:val="en-US"/>
        </w:rPr>
        <w:t>)</w:t>
      </w:r>
      <w:r w:rsidR="006C289C" w:rsidRPr="006C289C">
        <w:rPr>
          <w:lang w:val="en-US"/>
        </w:rPr>
        <w:t xml:space="preserve"> and the introduction of stricter independence standards</w:t>
      </w:r>
      <w:r w:rsidR="006C289C">
        <w:rPr>
          <w:lang w:val="en-US"/>
        </w:rPr>
        <w:t xml:space="preserve"> </w:t>
      </w:r>
      <w:r w:rsidR="006C289C" w:rsidRPr="006C289C">
        <w:rPr>
          <w:lang w:val="en-US"/>
        </w:rPr>
        <w:t>for directors serving on compensation committees.</w:t>
      </w:r>
      <w:r w:rsidR="001E376F" w:rsidRPr="00CE3A69">
        <w:rPr>
          <w:lang w:val="en-US"/>
        </w:rPr>
        <w:t xml:space="preserve"> </w:t>
      </w:r>
      <w:r w:rsidR="00F822CB">
        <w:rPr>
          <w:lang w:val="en-US"/>
        </w:rPr>
        <w:t>M</w:t>
      </w:r>
      <w:r w:rsidR="00537D4D">
        <w:rPr>
          <w:lang w:val="en-US"/>
        </w:rPr>
        <w:t>ore</w:t>
      </w:r>
      <w:r w:rsidR="00F822CB">
        <w:rPr>
          <w:lang w:val="en-US"/>
        </w:rPr>
        <w:t xml:space="preserve"> </w:t>
      </w:r>
      <w:r w:rsidR="00537D4D">
        <w:rPr>
          <w:lang w:val="en-US"/>
        </w:rPr>
        <w:t>stringent rules</w:t>
      </w:r>
      <w:r w:rsidR="00F822CB">
        <w:rPr>
          <w:lang w:val="en-US"/>
        </w:rPr>
        <w:t xml:space="preserve"> </w:t>
      </w:r>
      <w:r w:rsidR="00537D4D">
        <w:rPr>
          <w:lang w:val="en-US"/>
        </w:rPr>
        <w:t xml:space="preserve">have been directed to </w:t>
      </w:r>
      <w:r w:rsidR="00537D4D" w:rsidRPr="00223734">
        <w:rPr>
          <w:rFonts w:ascii="Times New Roman" w:hAnsi="Times New Roman"/>
          <w:szCs w:val="24"/>
          <w:lang w:val="en-US" w:eastAsia="it-IT"/>
        </w:rPr>
        <w:t>certain bank and non-bank financial institutions, including the</w:t>
      </w:r>
      <w:r w:rsidR="00537D4D">
        <w:rPr>
          <w:rFonts w:ascii="Times New Roman" w:hAnsi="Times New Roman"/>
          <w:szCs w:val="24"/>
          <w:lang w:val="en-US" w:eastAsia="it-IT"/>
        </w:rPr>
        <w:t xml:space="preserve"> </w:t>
      </w:r>
      <w:r w:rsidR="00537D4D" w:rsidRPr="00223734">
        <w:rPr>
          <w:rFonts w:ascii="Times New Roman" w:hAnsi="Times New Roman"/>
          <w:szCs w:val="24"/>
          <w:lang w:val="en-US" w:eastAsia="it-IT"/>
        </w:rPr>
        <w:t>establishment of risk committees</w:t>
      </w:r>
      <w:r w:rsidR="00537D4D">
        <w:rPr>
          <w:lang w:val="en-US"/>
        </w:rPr>
        <w:t xml:space="preserve"> and</w:t>
      </w:r>
      <w:r w:rsidR="00223734" w:rsidRPr="00223734">
        <w:rPr>
          <w:rFonts w:ascii="Times New Roman" w:hAnsi="Times New Roman"/>
          <w:szCs w:val="24"/>
          <w:lang w:val="en-US" w:eastAsia="it-IT"/>
        </w:rPr>
        <w:t xml:space="preserve"> provisions for</w:t>
      </w:r>
      <w:r w:rsidR="00537D4D">
        <w:rPr>
          <w:rFonts w:ascii="Times New Roman" w:hAnsi="Times New Roman"/>
          <w:szCs w:val="24"/>
          <w:lang w:val="en-US" w:eastAsia="it-IT"/>
        </w:rPr>
        <w:t xml:space="preserve"> </w:t>
      </w:r>
      <w:r w:rsidR="00223734" w:rsidRPr="00223734">
        <w:rPr>
          <w:rFonts w:ascii="Times New Roman" w:hAnsi="Times New Roman"/>
          <w:szCs w:val="24"/>
          <w:lang w:val="en-US" w:eastAsia="it-IT"/>
        </w:rPr>
        <w:t>‘</w:t>
      </w:r>
      <w:proofErr w:type="spellStart"/>
      <w:r w:rsidR="00223734" w:rsidRPr="00223734">
        <w:rPr>
          <w:rFonts w:ascii="Times New Roman" w:hAnsi="Times New Roman"/>
          <w:szCs w:val="24"/>
          <w:lang w:val="en-US" w:eastAsia="it-IT"/>
        </w:rPr>
        <w:t>clawback</w:t>
      </w:r>
      <w:proofErr w:type="spellEnd"/>
      <w:r w:rsidR="00223734" w:rsidRPr="00223734">
        <w:rPr>
          <w:rFonts w:ascii="Times New Roman" w:hAnsi="Times New Roman"/>
          <w:szCs w:val="24"/>
          <w:lang w:val="en-US" w:eastAsia="it-IT"/>
        </w:rPr>
        <w:t>’ of bonuses</w:t>
      </w:r>
      <w:r w:rsidR="00537D4D">
        <w:rPr>
          <w:rFonts w:ascii="Times New Roman" w:hAnsi="Times New Roman"/>
          <w:szCs w:val="24"/>
          <w:lang w:val="en-US" w:eastAsia="it-IT"/>
        </w:rPr>
        <w:t>.</w:t>
      </w:r>
    </w:p>
    <w:p w:rsidR="00537D4D" w:rsidRDefault="00537D4D" w:rsidP="00D40FC5">
      <w:pPr>
        <w:pStyle w:val="Paragrafoelenco"/>
        <w:spacing w:afterLines="200" w:line="360" w:lineRule="auto"/>
        <w:jc w:val="both"/>
        <w:rPr>
          <w:rFonts w:ascii="Times New Roman" w:hAnsi="Times New Roman"/>
          <w:szCs w:val="24"/>
          <w:lang w:val="en-US" w:eastAsia="it-IT"/>
        </w:rPr>
      </w:pPr>
    </w:p>
    <w:p w:rsidR="00537D4D" w:rsidRDefault="00537D4D" w:rsidP="00D40FC5">
      <w:pPr>
        <w:pStyle w:val="Paragrafoelenco"/>
        <w:spacing w:afterLines="200" w:line="360" w:lineRule="auto"/>
        <w:jc w:val="both"/>
        <w:rPr>
          <w:lang w:val="en-US"/>
        </w:rPr>
      </w:pPr>
      <w:r>
        <w:rPr>
          <w:lang w:val="en-US"/>
        </w:rPr>
        <w:t>S</w:t>
      </w:r>
      <w:r w:rsidR="00851D1E" w:rsidRPr="00CE3A69">
        <w:rPr>
          <w:lang w:val="en-US"/>
        </w:rPr>
        <w:t>imilar provisions were also implemented in Europe.</w:t>
      </w:r>
      <w:r w:rsidR="00851D1E" w:rsidRPr="00537D4D">
        <w:rPr>
          <w:lang w:val="en-US"/>
        </w:rPr>
        <w:t xml:space="preserve"> </w:t>
      </w:r>
      <w:r w:rsidRPr="00537D4D">
        <w:rPr>
          <w:lang w:val="en-US"/>
        </w:rPr>
        <w:t>I</w:t>
      </w:r>
      <w:r w:rsidR="006438A8" w:rsidRPr="00537D4D">
        <w:rPr>
          <w:lang w:val="en-US"/>
        </w:rPr>
        <w:t>n late 2008 the CEBS formed a task force to develop principles</w:t>
      </w:r>
      <w:r w:rsidRPr="00537D4D">
        <w:rPr>
          <w:lang w:val="en-US"/>
        </w:rPr>
        <w:t xml:space="preserve"> </w:t>
      </w:r>
      <w:r w:rsidR="006438A8" w:rsidRPr="00537D4D">
        <w:rPr>
          <w:lang w:val="en-US"/>
        </w:rPr>
        <w:t>for sound remuneration on behalf of all three European committees (CEBS, CEIOPS</w:t>
      </w:r>
      <w:r w:rsidRPr="00537D4D">
        <w:rPr>
          <w:lang w:val="en-US"/>
        </w:rPr>
        <w:t xml:space="preserve"> </w:t>
      </w:r>
      <w:r w:rsidR="006438A8" w:rsidRPr="00537D4D">
        <w:rPr>
          <w:lang w:val="en-US"/>
        </w:rPr>
        <w:t>and CESR</w:t>
      </w:r>
      <w:r w:rsidRPr="00537D4D">
        <w:rPr>
          <w:lang w:val="en-US"/>
        </w:rPr>
        <w:t>, later strengthened and transformed into EBA, EIOPA and ESMA</w:t>
      </w:r>
      <w:r w:rsidR="006438A8" w:rsidRPr="00537D4D">
        <w:rPr>
          <w:lang w:val="en-US"/>
        </w:rPr>
        <w:t>). Following a consultation period, the final draft of these principles was</w:t>
      </w:r>
      <w:r w:rsidR="00AB1B6B">
        <w:rPr>
          <w:lang w:val="en-US"/>
        </w:rPr>
        <w:t xml:space="preserve"> </w:t>
      </w:r>
      <w:r w:rsidR="006438A8" w:rsidRPr="00537D4D">
        <w:rPr>
          <w:lang w:val="en-US"/>
        </w:rPr>
        <w:t>released on 20 April 2009</w:t>
      </w:r>
      <w:r w:rsidRPr="00537D4D">
        <w:rPr>
          <w:lang w:val="en-US"/>
        </w:rPr>
        <w:t>. It</w:t>
      </w:r>
      <w:r w:rsidR="006438A8" w:rsidRPr="00537D4D">
        <w:rPr>
          <w:lang w:val="en-US"/>
        </w:rPr>
        <w:t xml:space="preserve"> addressed both banks and </w:t>
      </w:r>
      <w:r w:rsidRPr="00537D4D">
        <w:rPr>
          <w:lang w:val="en-US"/>
        </w:rPr>
        <w:t>r</w:t>
      </w:r>
      <w:r w:rsidR="006438A8" w:rsidRPr="00537D4D">
        <w:rPr>
          <w:lang w:val="en-US"/>
        </w:rPr>
        <w:t>egulating authorities within the EU</w:t>
      </w:r>
      <w:r w:rsidRPr="00537D4D">
        <w:rPr>
          <w:lang w:val="en-US"/>
        </w:rPr>
        <w:t>, focusing on the</w:t>
      </w:r>
      <w:r w:rsidR="006438A8" w:rsidRPr="00537D4D">
        <w:rPr>
          <w:lang w:val="en-US"/>
        </w:rPr>
        <w:t xml:space="preserve"> alignment of co</w:t>
      </w:r>
      <w:r w:rsidRPr="00537D4D">
        <w:rPr>
          <w:lang w:val="en-US"/>
        </w:rPr>
        <w:t xml:space="preserve">mpany and individual objective, </w:t>
      </w:r>
      <w:r w:rsidR="006438A8" w:rsidRPr="00537D4D">
        <w:rPr>
          <w:lang w:val="en-US"/>
        </w:rPr>
        <w:t xml:space="preserve"> transparency towards int</w:t>
      </w:r>
      <w:r w:rsidRPr="00537D4D">
        <w:rPr>
          <w:lang w:val="en-US"/>
        </w:rPr>
        <w:t xml:space="preserve">ernal and external stakeholders, </w:t>
      </w:r>
      <w:r w:rsidR="006438A8" w:rsidRPr="00537D4D">
        <w:rPr>
          <w:lang w:val="en-US"/>
        </w:rPr>
        <w:t>governance with respect to oversight and decision-making</w:t>
      </w:r>
      <w:r w:rsidRPr="00537D4D">
        <w:rPr>
          <w:lang w:val="en-US"/>
        </w:rPr>
        <w:t xml:space="preserve">, </w:t>
      </w:r>
      <w:r w:rsidR="006438A8" w:rsidRPr="00537D4D">
        <w:rPr>
          <w:lang w:val="en-US"/>
        </w:rPr>
        <w:t>perform</w:t>
      </w:r>
      <w:r w:rsidRPr="00537D4D">
        <w:rPr>
          <w:lang w:val="en-US"/>
        </w:rPr>
        <w:t>ance measurement</w:t>
      </w:r>
      <w:r w:rsidR="006438A8" w:rsidRPr="00537D4D">
        <w:rPr>
          <w:lang w:val="en-US"/>
        </w:rPr>
        <w:t xml:space="preserve"> and</w:t>
      </w:r>
      <w:r w:rsidRPr="00537D4D">
        <w:rPr>
          <w:lang w:val="en-US"/>
        </w:rPr>
        <w:t xml:space="preserve"> </w:t>
      </w:r>
      <w:r w:rsidR="006438A8" w:rsidRPr="00537D4D">
        <w:rPr>
          <w:lang w:val="en-US"/>
        </w:rPr>
        <w:t>form, or structure, of remuneration.</w:t>
      </w:r>
    </w:p>
    <w:p w:rsidR="00537D4D" w:rsidRDefault="00537D4D" w:rsidP="00D40FC5">
      <w:pPr>
        <w:pStyle w:val="Paragrafoelenco"/>
        <w:spacing w:afterLines="200" w:line="360" w:lineRule="auto"/>
        <w:jc w:val="both"/>
        <w:rPr>
          <w:lang w:val="en-US"/>
        </w:rPr>
      </w:pPr>
    </w:p>
    <w:p w:rsidR="00AB1B6B" w:rsidRDefault="006438A8" w:rsidP="00D40FC5">
      <w:pPr>
        <w:pStyle w:val="Paragrafoelenco"/>
        <w:spacing w:afterLines="200" w:line="360" w:lineRule="auto"/>
        <w:jc w:val="both"/>
        <w:rPr>
          <w:rFonts w:ascii="Times New Roman" w:hAnsi="Times New Roman"/>
          <w:szCs w:val="24"/>
          <w:lang w:val="en-US" w:eastAsia="it-IT"/>
        </w:rPr>
      </w:pPr>
      <w:r w:rsidRPr="006438A8">
        <w:rPr>
          <w:rFonts w:ascii="Times New Roman" w:hAnsi="Times New Roman"/>
          <w:szCs w:val="24"/>
          <w:lang w:val="en-US" w:eastAsia="it-IT"/>
        </w:rPr>
        <w:t xml:space="preserve">On 29 April 2009 the European Commission announced that it </w:t>
      </w:r>
      <w:r w:rsidR="00537D4D">
        <w:rPr>
          <w:rFonts w:ascii="Times New Roman" w:hAnsi="Times New Roman"/>
          <w:szCs w:val="24"/>
          <w:lang w:val="en-US" w:eastAsia="it-IT"/>
        </w:rPr>
        <w:t>would</w:t>
      </w:r>
      <w:r w:rsidRPr="006438A8">
        <w:rPr>
          <w:rFonts w:ascii="Times New Roman" w:hAnsi="Times New Roman"/>
          <w:szCs w:val="24"/>
          <w:lang w:val="en-US" w:eastAsia="it-IT"/>
        </w:rPr>
        <w:t xml:space="preserve"> issue two recommendations </w:t>
      </w:r>
      <w:r w:rsidR="00AB1B6B">
        <w:rPr>
          <w:rFonts w:ascii="Times New Roman" w:hAnsi="Times New Roman"/>
          <w:szCs w:val="24"/>
          <w:lang w:val="en-US" w:eastAsia="it-IT"/>
        </w:rPr>
        <w:t xml:space="preserve">on executive compensation </w:t>
      </w:r>
      <w:r w:rsidRPr="006438A8">
        <w:rPr>
          <w:rFonts w:ascii="Times New Roman" w:hAnsi="Times New Roman"/>
          <w:szCs w:val="24"/>
          <w:lang w:val="en-US" w:eastAsia="it-IT"/>
        </w:rPr>
        <w:t>for</w:t>
      </w:r>
      <w:r w:rsidR="00537D4D">
        <w:rPr>
          <w:rFonts w:ascii="Times New Roman" w:hAnsi="Times New Roman"/>
          <w:szCs w:val="24"/>
          <w:lang w:val="en-US" w:eastAsia="it-IT"/>
        </w:rPr>
        <w:t xml:space="preserve"> </w:t>
      </w:r>
      <w:r w:rsidRPr="006438A8">
        <w:rPr>
          <w:rFonts w:ascii="Times New Roman" w:hAnsi="Times New Roman"/>
          <w:szCs w:val="24"/>
          <w:lang w:val="en-US" w:eastAsia="it-IT"/>
        </w:rPr>
        <w:t>member states to incorporate into national laws</w:t>
      </w:r>
      <w:r w:rsidR="00AB1B6B">
        <w:rPr>
          <w:rFonts w:ascii="Times New Roman" w:hAnsi="Times New Roman"/>
          <w:szCs w:val="24"/>
          <w:lang w:val="en-US" w:eastAsia="it-IT"/>
        </w:rPr>
        <w:t>: o</w:t>
      </w:r>
      <w:r w:rsidRPr="006438A8">
        <w:rPr>
          <w:rFonts w:ascii="Times New Roman" w:hAnsi="Times New Roman"/>
          <w:szCs w:val="24"/>
          <w:lang w:val="en-US" w:eastAsia="it-IT"/>
        </w:rPr>
        <w:t>ne relate</w:t>
      </w:r>
      <w:r w:rsidR="00AB1B6B">
        <w:rPr>
          <w:rFonts w:ascii="Times New Roman" w:hAnsi="Times New Roman"/>
          <w:szCs w:val="24"/>
          <w:lang w:val="en-US" w:eastAsia="it-IT"/>
        </w:rPr>
        <w:t>d</w:t>
      </w:r>
      <w:r w:rsidRPr="006438A8">
        <w:rPr>
          <w:rFonts w:ascii="Times New Roman" w:hAnsi="Times New Roman"/>
          <w:szCs w:val="24"/>
          <w:lang w:val="en-US" w:eastAsia="it-IT"/>
        </w:rPr>
        <w:t xml:space="preserve"> to financial institutions</w:t>
      </w:r>
      <w:r w:rsidR="00537D4D">
        <w:rPr>
          <w:rFonts w:ascii="Times New Roman" w:hAnsi="Times New Roman"/>
          <w:szCs w:val="24"/>
          <w:lang w:val="en-US" w:eastAsia="it-IT"/>
        </w:rPr>
        <w:t xml:space="preserve"> </w:t>
      </w:r>
      <w:r w:rsidRPr="006438A8">
        <w:rPr>
          <w:rFonts w:ascii="Times New Roman" w:hAnsi="Times New Roman"/>
          <w:szCs w:val="24"/>
          <w:lang w:val="en-US" w:eastAsia="it-IT"/>
        </w:rPr>
        <w:t>and the other to all listed companies.</w:t>
      </w:r>
      <w:r w:rsidR="00537D4D">
        <w:rPr>
          <w:rFonts w:ascii="Times New Roman" w:hAnsi="Times New Roman"/>
          <w:szCs w:val="24"/>
          <w:lang w:val="en-US" w:eastAsia="it-IT"/>
        </w:rPr>
        <w:t xml:space="preserve"> </w:t>
      </w:r>
      <w:r w:rsidRPr="006438A8">
        <w:rPr>
          <w:rFonts w:ascii="Times New Roman" w:hAnsi="Times New Roman"/>
          <w:szCs w:val="24"/>
          <w:lang w:val="en-US" w:eastAsia="it-IT"/>
        </w:rPr>
        <w:t xml:space="preserve">Rules relating </w:t>
      </w:r>
      <w:r w:rsidRPr="006438A8">
        <w:rPr>
          <w:rFonts w:ascii="Times New Roman" w:hAnsi="Times New Roman"/>
          <w:szCs w:val="24"/>
          <w:lang w:val="en-US" w:eastAsia="it-IT"/>
        </w:rPr>
        <w:lastRenderedPageBreak/>
        <w:t xml:space="preserve">to financial institutions </w:t>
      </w:r>
      <w:r w:rsidR="00B5425F">
        <w:rPr>
          <w:rFonts w:ascii="Times New Roman" w:hAnsi="Times New Roman"/>
          <w:szCs w:val="24"/>
          <w:lang w:val="en-US" w:eastAsia="it-IT"/>
        </w:rPr>
        <w:t>were</w:t>
      </w:r>
      <w:r w:rsidRPr="006438A8">
        <w:rPr>
          <w:rFonts w:ascii="Times New Roman" w:hAnsi="Times New Roman"/>
          <w:szCs w:val="24"/>
          <w:lang w:val="en-US" w:eastAsia="it-IT"/>
        </w:rPr>
        <w:t xml:space="preserve"> organized according to five themes:</w:t>
      </w:r>
      <w:r w:rsidR="00537D4D">
        <w:rPr>
          <w:rFonts w:ascii="Times New Roman" w:hAnsi="Times New Roman"/>
          <w:sz w:val="16"/>
          <w:szCs w:val="16"/>
          <w:lang w:val="en-US" w:eastAsia="it-IT"/>
        </w:rPr>
        <w:t xml:space="preserve"> </w:t>
      </w:r>
      <w:r w:rsidRPr="006438A8">
        <w:rPr>
          <w:rFonts w:ascii="Times New Roman" w:hAnsi="Times New Roman"/>
          <w:szCs w:val="24"/>
          <w:lang w:val="en-US" w:eastAsia="it-IT"/>
        </w:rPr>
        <w:t>a</w:t>
      </w:r>
      <w:r w:rsidR="00AB1B6B">
        <w:rPr>
          <w:rFonts w:ascii="Times New Roman" w:hAnsi="Times New Roman"/>
          <w:szCs w:val="24"/>
          <w:lang w:val="en-US" w:eastAsia="it-IT"/>
        </w:rPr>
        <w:t>)</w:t>
      </w:r>
      <w:r w:rsidRPr="006438A8">
        <w:rPr>
          <w:rFonts w:ascii="Times New Roman" w:hAnsi="Times New Roman"/>
          <w:szCs w:val="24"/>
          <w:lang w:val="en-US" w:eastAsia="it-IT"/>
        </w:rPr>
        <w:t xml:space="preserve"> structure of remuneration policy;</w:t>
      </w:r>
      <w:r w:rsidR="00537D4D">
        <w:rPr>
          <w:rFonts w:ascii="Times New Roman" w:hAnsi="Times New Roman"/>
          <w:szCs w:val="24"/>
          <w:lang w:val="en-US" w:eastAsia="it-IT"/>
        </w:rPr>
        <w:t xml:space="preserve"> </w:t>
      </w:r>
      <w:r w:rsidRPr="006438A8">
        <w:rPr>
          <w:rFonts w:ascii="Times New Roman" w:hAnsi="Times New Roman"/>
          <w:szCs w:val="24"/>
          <w:lang w:val="en-US" w:eastAsia="it-IT"/>
        </w:rPr>
        <w:t>b</w:t>
      </w:r>
      <w:r w:rsidR="00AB1B6B">
        <w:rPr>
          <w:rFonts w:ascii="Times New Roman" w:hAnsi="Times New Roman"/>
          <w:szCs w:val="24"/>
          <w:lang w:val="en-US" w:eastAsia="it-IT"/>
        </w:rPr>
        <w:t>)</w:t>
      </w:r>
      <w:r w:rsidRPr="006438A8">
        <w:rPr>
          <w:rFonts w:ascii="Times New Roman" w:hAnsi="Times New Roman"/>
          <w:szCs w:val="24"/>
          <w:lang w:val="en-US" w:eastAsia="it-IT"/>
        </w:rPr>
        <w:t xml:space="preserve"> performance measurement;</w:t>
      </w:r>
      <w:r w:rsidR="00537D4D">
        <w:rPr>
          <w:rFonts w:ascii="Times New Roman" w:hAnsi="Times New Roman"/>
          <w:szCs w:val="24"/>
          <w:lang w:val="en-US" w:eastAsia="it-IT"/>
        </w:rPr>
        <w:t xml:space="preserve"> </w:t>
      </w:r>
      <w:r w:rsidRPr="006438A8">
        <w:rPr>
          <w:rFonts w:ascii="Times New Roman" w:hAnsi="Times New Roman"/>
          <w:szCs w:val="24"/>
          <w:lang w:val="en-US" w:eastAsia="it-IT"/>
        </w:rPr>
        <w:t>c</w:t>
      </w:r>
      <w:r w:rsidR="00AB1B6B">
        <w:rPr>
          <w:rFonts w:ascii="Times New Roman" w:hAnsi="Times New Roman"/>
          <w:szCs w:val="24"/>
          <w:lang w:val="en-US" w:eastAsia="it-IT"/>
        </w:rPr>
        <w:t>)</w:t>
      </w:r>
      <w:r w:rsidRPr="006438A8">
        <w:rPr>
          <w:rFonts w:ascii="Times New Roman" w:hAnsi="Times New Roman"/>
          <w:szCs w:val="24"/>
          <w:lang w:val="en-US" w:eastAsia="it-IT"/>
        </w:rPr>
        <w:t xml:space="preserve"> governance of the pay-setting process and internal oversight over pay awards;</w:t>
      </w:r>
      <w:r w:rsidR="00537D4D">
        <w:rPr>
          <w:rFonts w:ascii="Times New Roman" w:hAnsi="Times New Roman"/>
          <w:szCs w:val="24"/>
          <w:lang w:val="en-US" w:eastAsia="it-IT"/>
        </w:rPr>
        <w:t xml:space="preserve"> </w:t>
      </w:r>
      <w:r w:rsidRPr="006438A8">
        <w:rPr>
          <w:rFonts w:ascii="Times New Roman" w:hAnsi="Times New Roman"/>
          <w:szCs w:val="24"/>
          <w:lang w:val="en-US" w:eastAsia="it-IT"/>
        </w:rPr>
        <w:t>d</w:t>
      </w:r>
      <w:r w:rsidR="00AB1B6B">
        <w:rPr>
          <w:rFonts w:ascii="Times New Roman" w:hAnsi="Times New Roman"/>
          <w:szCs w:val="24"/>
          <w:lang w:val="en-US" w:eastAsia="it-IT"/>
        </w:rPr>
        <w:t>)</w:t>
      </w:r>
      <w:r w:rsidRPr="006438A8">
        <w:rPr>
          <w:rFonts w:ascii="Times New Roman" w:hAnsi="Times New Roman"/>
          <w:szCs w:val="24"/>
          <w:lang w:val="en-US" w:eastAsia="it-IT"/>
        </w:rPr>
        <w:t xml:space="preserve"> enhanced disclosures of the pay-setting process and remuneration policy,</w:t>
      </w:r>
      <w:r w:rsidR="00537D4D">
        <w:rPr>
          <w:rFonts w:ascii="Times New Roman" w:hAnsi="Times New Roman"/>
          <w:szCs w:val="24"/>
          <w:lang w:val="en-US" w:eastAsia="it-IT"/>
        </w:rPr>
        <w:t xml:space="preserve"> </w:t>
      </w:r>
      <w:r w:rsidRPr="006438A8">
        <w:rPr>
          <w:rFonts w:ascii="Times New Roman" w:hAnsi="Times New Roman"/>
          <w:szCs w:val="24"/>
          <w:lang w:val="en-US" w:eastAsia="it-IT"/>
        </w:rPr>
        <w:t>including details of performance criteria; and</w:t>
      </w:r>
      <w:r w:rsidR="00537D4D">
        <w:rPr>
          <w:rFonts w:ascii="Times New Roman" w:hAnsi="Times New Roman"/>
          <w:szCs w:val="24"/>
          <w:lang w:val="en-US" w:eastAsia="it-IT"/>
        </w:rPr>
        <w:t xml:space="preserve"> </w:t>
      </w:r>
      <w:r w:rsidRPr="006438A8">
        <w:rPr>
          <w:rFonts w:ascii="Times New Roman" w:hAnsi="Times New Roman"/>
          <w:szCs w:val="24"/>
          <w:lang w:val="en-US" w:eastAsia="it-IT"/>
        </w:rPr>
        <w:t>e</w:t>
      </w:r>
      <w:r w:rsidR="00AB1B6B">
        <w:rPr>
          <w:rFonts w:ascii="Times New Roman" w:hAnsi="Times New Roman"/>
          <w:szCs w:val="24"/>
          <w:lang w:val="en-US" w:eastAsia="it-IT"/>
        </w:rPr>
        <w:t>)</w:t>
      </w:r>
      <w:r w:rsidRPr="006438A8">
        <w:rPr>
          <w:rFonts w:ascii="Times New Roman" w:hAnsi="Times New Roman"/>
          <w:szCs w:val="24"/>
          <w:lang w:val="en-US" w:eastAsia="it-IT"/>
        </w:rPr>
        <w:t xml:space="preserve"> regulatory oversight</w:t>
      </w:r>
      <w:r w:rsidR="00AB1B6B">
        <w:rPr>
          <w:rFonts w:ascii="Times New Roman" w:hAnsi="Times New Roman"/>
          <w:szCs w:val="24"/>
          <w:lang w:val="en-US" w:eastAsia="it-IT"/>
        </w:rPr>
        <w:t>, with the last three issues being applicable also to non-financial institutions</w:t>
      </w:r>
      <w:r w:rsidRPr="006438A8">
        <w:rPr>
          <w:rFonts w:ascii="Times New Roman" w:hAnsi="Times New Roman"/>
          <w:szCs w:val="24"/>
          <w:lang w:val="en-US" w:eastAsia="it-IT"/>
        </w:rPr>
        <w:t>.</w:t>
      </w:r>
    </w:p>
    <w:p w:rsidR="00E00D33" w:rsidRDefault="00E00D33" w:rsidP="00D40FC5">
      <w:pPr>
        <w:pStyle w:val="Paragrafoelenco"/>
        <w:spacing w:afterLines="200" w:line="360" w:lineRule="auto"/>
        <w:ind w:left="708"/>
        <w:jc w:val="both"/>
        <w:rPr>
          <w:lang w:val="en-US"/>
        </w:rPr>
      </w:pPr>
    </w:p>
    <w:p w:rsidR="00E00D33" w:rsidRDefault="00E00D33" w:rsidP="00D40FC5">
      <w:pPr>
        <w:pStyle w:val="Paragrafoelenco"/>
        <w:spacing w:afterLines="200" w:line="360" w:lineRule="auto"/>
        <w:ind w:left="708"/>
        <w:jc w:val="both"/>
        <w:rPr>
          <w:lang w:val="en-US"/>
        </w:rPr>
      </w:pPr>
      <w:r>
        <w:rPr>
          <w:lang w:val="en-US"/>
        </w:rPr>
        <w:t>To summarize, in the aftermath of the 2008</w:t>
      </w:r>
      <w:r w:rsidR="00541013">
        <w:rPr>
          <w:lang w:val="en-US"/>
        </w:rPr>
        <w:t>-2010</w:t>
      </w:r>
      <w:r>
        <w:rPr>
          <w:lang w:val="en-US"/>
        </w:rPr>
        <w:t xml:space="preserve"> financial crisis the international debate on corporate governance has been concentrated on executive compensations in financial and non financial institutions. </w:t>
      </w:r>
      <w:r w:rsidRPr="00BB6AD2">
        <w:rPr>
          <w:lang w:val="en-US"/>
        </w:rPr>
        <w:t xml:space="preserve">However, once the exceptional circumstances of the last few years will be over, there will be a need to go back to </w:t>
      </w:r>
      <w:r>
        <w:rPr>
          <w:lang w:val="en-US"/>
        </w:rPr>
        <w:t>the overall system of corporate governance</w:t>
      </w:r>
      <w:r w:rsidRPr="00BB6AD2">
        <w:rPr>
          <w:lang w:val="en-US"/>
        </w:rPr>
        <w:t xml:space="preserve"> as a booster of competition and value creation which are the essential drivers of economic growth. A system of institutional and market mechanisms that allow shareholders to minimize the risk of management </w:t>
      </w:r>
      <w:r>
        <w:rPr>
          <w:lang w:val="en-US"/>
        </w:rPr>
        <w:t>inefficiency, shirking or fraud</w:t>
      </w:r>
      <w:r w:rsidRPr="00BB6AD2">
        <w:rPr>
          <w:lang w:val="en-US"/>
        </w:rPr>
        <w:t xml:space="preserve"> is a prerequisite of attracting in</w:t>
      </w:r>
      <w:r>
        <w:rPr>
          <w:lang w:val="en-US"/>
        </w:rPr>
        <w:t>vestments and fostering growth through the stock exchange.</w:t>
      </w:r>
      <w:r w:rsidR="00B5425F">
        <w:rPr>
          <w:lang w:val="en-US"/>
        </w:rPr>
        <w:t xml:space="preserve"> </w:t>
      </w:r>
      <w:r w:rsidR="00B5425F" w:rsidRPr="00635DD7">
        <w:rPr>
          <w:lang w:val="en-US"/>
        </w:rPr>
        <w:t>The EU and Italy have already done some steps in this direction.</w:t>
      </w:r>
    </w:p>
    <w:p w:rsidR="008D356A" w:rsidRPr="004B4D09" w:rsidRDefault="008D356A" w:rsidP="00D40FC5">
      <w:pPr>
        <w:pStyle w:val="Paragrafoelenco"/>
        <w:spacing w:afterLines="200" w:line="360" w:lineRule="auto"/>
        <w:ind w:left="0"/>
        <w:jc w:val="both"/>
        <w:rPr>
          <w:lang w:val="en-US"/>
        </w:rPr>
      </w:pPr>
    </w:p>
    <w:p w:rsidR="00BB6AD2" w:rsidRDefault="00BB6AD2" w:rsidP="00D40FC5">
      <w:pPr>
        <w:pStyle w:val="Paragrafoelenco"/>
        <w:numPr>
          <w:ilvl w:val="0"/>
          <w:numId w:val="10"/>
        </w:numPr>
        <w:spacing w:afterLines="200" w:line="360" w:lineRule="auto"/>
        <w:ind w:left="0" w:firstLine="708"/>
        <w:jc w:val="both"/>
        <w:rPr>
          <w:lang w:val="en-US"/>
        </w:rPr>
      </w:pPr>
      <w:r>
        <w:rPr>
          <w:b/>
          <w:lang w:val="en-US"/>
        </w:rPr>
        <w:t>Corporate governance and the</w:t>
      </w:r>
      <w:r w:rsidR="00DD3D7E">
        <w:rPr>
          <w:b/>
          <w:lang w:val="en-US"/>
        </w:rPr>
        <w:t xml:space="preserve"> equity market in Italy </w:t>
      </w:r>
    </w:p>
    <w:p w:rsidR="006F7B40" w:rsidRDefault="006F7B40" w:rsidP="00D40FC5">
      <w:pPr>
        <w:pStyle w:val="Paragrafoelenco"/>
        <w:spacing w:afterLines="200" w:line="360" w:lineRule="auto"/>
        <w:jc w:val="both"/>
        <w:rPr>
          <w:lang w:val="en-US"/>
        </w:rPr>
      </w:pPr>
    </w:p>
    <w:p w:rsidR="00916439" w:rsidRPr="00E042A8" w:rsidRDefault="000D42FD" w:rsidP="00D40FC5">
      <w:pPr>
        <w:pStyle w:val="Paragrafoelenco"/>
        <w:spacing w:afterLines="200" w:line="360" w:lineRule="auto"/>
        <w:jc w:val="both"/>
        <w:rPr>
          <w:lang w:val="en-US"/>
        </w:rPr>
      </w:pPr>
      <w:r>
        <w:rPr>
          <w:lang w:val="en-US"/>
        </w:rPr>
        <w:t>T</w:t>
      </w:r>
      <w:r w:rsidR="00D60EB4" w:rsidRPr="00D60EB4">
        <w:rPr>
          <w:lang w:val="en-US"/>
        </w:rPr>
        <w:t>he equity market has always played a modest role</w:t>
      </w:r>
      <w:r>
        <w:rPr>
          <w:lang w:val="en-US"/>
        </w:rPr>
        <w:t xml:space="preserve"> in Italy</w:t>
      </w:r>
      <w:r w:rsidR="006E5512">
        <w:rPr>
          <w:lang w:val="en-US"/>
        </w:rPr>
        <w:t>,</w:t>
      </w:r>
      <w:r w:rsidR="00F230D5">
        <w:rPr>
          <w:lang w:val="en-US"/>
        </w:rPr>
        <w:t xml:space="preserve"> which is </w:t>
      </w:r>
      <w:r w:rsidR="00E919A3">
        <w:rPr>
          <w:lang w:val="en-US"/>
        </w:rPr>
        <w:t>a</w:t>
      </w:r>
      <w:r w:rsidR="00F12A68">
        <w:rPr>
          <w:lang w:val="en-US"/>
        </w:rPr>
        <w:t xml:space="preserve"> bank-based econom</w:t>
      </w:r>
      <w:r w:rsidR="00E919A3">
        <w:rPr>
          <w:lang w:val="en-US"/>
        </w:rPr>
        <w:t>y</w:t>
      </w:r>
      <w:r w:rsidR="00431A06">
        <w:rPr>
          <w:lang w:val="en-US"/>
        </w:rPr>
        <w:t>. I</w:t>
      </w:r>
      <w:r w:rsidR="00D60EB4" w:rsidRPr="00D60EB4">
        <w:rPr>
          <w:lang w:val="en-US"/>
        </w:rPr>
        <w:t>n the last decade</w:t>
      </w:r>
      <w:r w:rsidR="00431A06">
        <w:rPr>
          <w:lang w:val="en-US"/>
        </w:rPr>
        <w:t xml:space="preserve"> </w:t>
      </w:r>
      <w:r w:rsidR="00DD3D7E">
        <w:rPr>
          <w:lang w:val="en-US"/>
        </w:rPr>
        <w:t>stock markets</w:t>
      </w:r>
      <w:r w:rsidR="00D60EB4" w:rsidRPr="00D60EB4">
        <w:rPr>
          <w:lang w:val="en-US"/>
        </w:rPr>
        <w:t xml:space="preserve"> undergone a further contraction, only </w:t>
      </w:r>
      <w:r w:rsidR="00431A06">
        <w:rPr>
          <w:lang w:val="en-US"/>
        </w:rPr>
        <w:t>partially explained by unfavo</w:t>
      </w:r>
      <w:r w:rsidR="00D60EB4" w:rsidRPr="00D60EB4">
        <w:rPr>
          <w:lang w:val="en-US"/>
        </w:rPr>
        <w:t xml:space="preserve">rable </w:t>
      </w:r>
      <w:r w:rsidR="00431A06">
        <w:rPr>
          <w:lang w:val="en-US"/>
        </w:rPr>
        <w:t>macro</w:t>
      </w:r>
      <w:r w:rsidR="00D60EB4" w:rsidRPr="00D60EB4">
        <w:rPr>
          <w:lang w:val="en-US"/>
        </w:rPr>
        <w:t xml:space="preserve">economic </w:t>
      </w:r>
      <w:r w:rsidR="00431A06">
        <w:rPr>
          <w:lang w:val="en-US"/>
        </w:rPr>
        <w:t>conditions</w:t>
      </w:r>
      <w:r w:rsidR="00D60EB4" w:rsidRPr="00D60EB4">
        <w:rPr>
          <w:lang w:val="en-US"/>
        </w:rPr>
        <w:t xml:space="preserve">. </w:t>
      </w:r>
      <w:r w:rsidR="00DC7E75">
        <w:rPr>
          <w:lang w:val="en-US"/>
        </w:rPr>
        <w:t>In particular, b</w:t>
      </w:r>
      <w:r w:rsidR="00D60EB4" w:rsidRPr="00DA6DA1">
        <w:rPr>
          <w:lang w:val="en-US"/>
        </w:rPr>
        <w:t>etween 2001 and 201</w:t>
      </w:r>
      <w:r w:rsidR="006C16B6">
        <w:rPr>
          <w:lang w:val="en-US"/>
        </w:rPr>
        <w:t>2</w:t>
      </w:r>
      <w:r w:rsidR="00D60EB4" w:rsidRPr="00DA6DA1">
        <w:rPr>
          <w:lang w:val="en-US"/>
        </w:rPr>
        <w:t xml:space="preserve"> the number of </w:t>
      </w:r>
      <w:r w:rsidR="00DC7E75">
        <w:rPr>
          <w:lang w:val="en-US"/>
        </w:rPr>
        <w:t>Italian</w:t>
      </w:r>
      <w:r w:rsidR="00D60EB4" w:rsidRPr="00DA6DA1">
        <w:rPr>
          <w:lang w:val="en-US"/>
        </w:rPr>
        <w:t xml:space="preserve"> listed companies remained less than 300</w:t>
      </w:r>
      <w:r w:rsidR="00431A06" w:rsidRPr="00DA6DA1">
        <w:rPr>
          <w:lang w:val="en-US"/>
        </w:rPr>
        <w:t xml:space="preserve"> and the proportion of capitaliz</w:t>
      </w:r>
      <w:r w:rsidR="00D60EB4" w:rsidRPr="00DA6DA1">
        <w:rPr>
          <w:lang w:val="en-US"/>
        </w:rPr>
        <w:t xml:space="preserve">ation to GDP almost halved (from 47 to approximately </w:t>
      </w:r>
      <w:r w:rsidR="006C16B6">
        <w:rPr>
          <w:lang w:val="en-US"/>
        </w:rPr>
        <w:t>22</w:t>
      </w:r>
      <w:r w:rsidR="00D60EB4" w:rsidRPr="00DA6DA1">
        <w:rPr>
          <w:lang w:val="en-US"/>
        </w:rPr>
        <w:t xml:space="preserve"> per cent); dividends (and repurchase of own shares) amounted to more than capital increases and every year resources of an a</w:t>
      </w:r>
      <w:r w:rsidR="00431A06" w:rsidRPr="00DA6DA1">
        <w:rPr>
          <w:lang w:val="en-US"/>
        </w:rPr>
        <w:t xml:space="preserve">verage </w:t>
      </w:r>
      <w:r w:rsidR="00CA0F05" w:rsidRPr="00635DD7">
        <w:rPr>
          <w:lang w:val="en-US"/>
        </w:rPr>
        <w:t>15.8</w:t>
      </w:r>
      <w:r w:rsidR="00CA0F05">
        <w:rPr>
          <w:lang w:val="en-US"/>
        </w:rPr>
        <w:t xml:space="preserve"> </w:t>
      </w:r>
      <w:r w:rsidR="00431A06" w:rsidRPr="00DA6DA1">
        <w:rPr>
          <w:lang w:val="en-US"/>
        </w:rPr>
        <w:t>per cent of capitaliz</w:t>
      </w:r>
      <w:r w:rsidR="00D60EB4" w:rsidRPr="00DA6DA1">
        <w:rPr>
          <w:lang w:val="en-US"/>
        </w:rPr>
        <w:t>ation</w:t>
      </w:r>
      <w:r w:rsidR="004C6E9D">
        <w:rPr>
          <w:lang w:val="en-US"/>
        </w:rPr>
        <w:t xml:space="preserve"> were returned to shareholders.</w:t>
      </w:r>
      <w:r w:rsidR="00916439" w:rsidRPr="00916439">
        <w:rPr>
          <w:lang w:val="en-US"/>
        </w:rPr>
        <w:t xml:space="preserve"> </w:t>
      </w:r>
      <w:r w:rsidR="00916439">
        <w:rPr>
          <w:lang w:val="en-US"/>
        </w:rPr>
        <w:t>Despite the real economy is by and large sound,</w:t>
      </w:r>
      <w:r w:rsidR="00916439" w:rsidRPr="007E30BE">
        <w:rPr>
          <w:lang w:val="en-US"/>
        </w:rPr>
        <w:t xml:space="preserve"> </w:t>
      </w:r>
      <w:r w:rsidR="00916439">
        <w:rPr>
          <w:lang w:val="en-US"/>
        </w:rPr>
        <w:t xml:space="preserve">the </w:t>
      </w:r>
      <w:r w:rsidR="00916439" w:rsidRPr="007E30BE">
        <w:rPr>
          <w:lang w:val="en-US"/>
        </w:rPr>
        <w:t>potential of attraction of the Italian economic system is still too low compared with that of its peers.</w:t>
      </w:r>
    </w:p>
    <w:p w:rsidR="007E30BE" w:rsidRDefault="007E30BE" w:rsidP="00D40FC5">
      <w:pPr>
        <w:pStyle w:val="Paragrafoelenco"/>
        <w:spacing w:afterLines="200" w:line="360" w:lineRule="auto"/>
        <w:jc w:val="both"/>
        <w:rPr>
          <w:lang w:val="en-US"/>
        </w:rPr>
      </w:pPr>
    </w:p>
    <w:p w:rsidR="004C6E9D" w:rsidRDefault="00BE6200" w:rsidP="00D40FC5">
      <w:pPr>
        <w:pStyle w:val="Paragrafoelenco"/>
        <w:spacing w:afterLines="200" w:line="360" w:lineRule="auto"/>
        <w:jc w:val="both"/>
        <w:rPr>
          <w:lang w:val="en-US"/>
        </w:rPr>
      </w:pPr>
      <w:r>
        <w:rPr>
          <w:lang w:val="en-US"/>
        </w:rPr>
        <w:t xml:space="preserve">On the supply side, the </w:t>
      </w:r>
      <w:proofErr w:type="spellStart"/>
      <w:r>
        <w:rPr>
          <w:lang w:val="en-US"/>
        </w:rPr>
        <w:t>under</w:t>
      </w:r>
      <w:r w:rsidR="00DB7F69" w:rsidRPr="00DB7F69">
        <w:rPr>
          <w:lang w:val="en-US"/>
        </w:rPr>
        <w:t>sizing</w:t>
      </w:r>
      <w:proofErr w:type="spellEnd"/>
      <w:r w:rsidR="00DB7F69" w:rsidRPr="00DB7F69">
        <w:rPr>
          <w:lang w:val="en-US"/>
        </w:rPr>
        <w:t xml:space="preserve"> o</w:t>
      </w:r>
      <w:r>
        <w:rPr>
          <w:lang w:val="en-US"/>
        </w:rPr>
        <w:t>f the Italian stock exchange is</w:t>
      </w:r>
      <w:r w:rsidR="00FB10D7">
        <w:rPr>
          <w:lang w:val="en-US"/>
        </w:rPr>
        <w:t xml:space="preserve"> </w:t>
      </w:r>
      <w:r w:rsidR="00DB7F69" w:rsidRPr="00DB7F69">
        <w:rPr>
          <w:lang w:val="en-US"/>
        </w:rPr>
        <w:t>rooted in the structural fragmentation of our productive system into a very high number of small and medium enterprises</w:t>
      </w:r>
      <w:r>
        <w:rPr>
          <w:lang w:val="en-US"/>
        </w:rPr>
        <w:t xml:space="preserve"> (SMEs)</w:t>
      </w:r>
      <w:r w:rsidR="00FB10D7">
        <w:rPr>
          <w:lang w:val="en-US"/>
        </w:rPr>
        <w:t>.</w:t>
      </w:r>
      <w:r w:rsidR="00DB7F69" w:rsidRPr="00DB7F69">
        <w:rPr>
          <w:lang w:val="en-US"/>
        </w:rPr>
        <w:t xml:space="preserve"> </w:t>
      </w:r>
    </w:p>
    <w:p w:rsidR="004C6E9D" w:rsidRDefault="004C6E9D" w:rsidP="00D40FC5">
      <w:pPr>
        <w:pStyle w:val="Paragrafoelenco"/>
        <w:spacing w:afterLines="200" w:line="360" w:lineRule="auto"/>
        <w:jc w:val="both"/>
        <w:rPr>
          <w:lang w:val="en-US"/>
        </w:rPr>
      </w:pPr>
    </w:p>
    <w:p w:rsidR="004C6E9D" w:rsidRPr="00111F99" w:rsidRDefault="0005535F" w:rsidP="00D40FC5">
      <w:pPr>
        <w:pStyle w:val="Paragrafoelenco"/>
        <w:spacing w:afterLines="200" w:line="360" w:lineRule="auto"/>
        <w:jc w:val="both"/>
        <w:rPr>
          <w:szCs w:val="24"/>
          <w:lang w:val="en-US"/>
        </w:rPr>
      </w:pPr>
      <w:r w:rsidRPr="0005535F">
        <w:rPr>
          <w:szCs w:val="24"/>
          <w:lang w:val="en-US"/>
        </w:rPr>
        <w:lastRenderedPageBreak/>
        <w:t xml:space="preserve">Due to its high number of dynamic SMEs, Italy has one of the largest manufacturing industries in the Euro-area. With a 16% share, it is the third largest in real terms (just behind France with 17%). Most firms are export-oriented. Italian foodstuffs, clothing and furniture are known globally, but their engineering products, chemical and petrochemical industry, and motor vehicles are also top sellers. Top exports are represented by pharmaceuticals, basic metals, electronics and mechanical engineering products. Italy’s trade is highly diversified across partners and </w:t>
      </w:r>
      <w:r w:rsidRPr="00635DD7">
        <w:rPr>
          <w:szCs w:val="24"/>
          <w:lang w:val="en-US"/>
        </w:rPr>
        <w:t>the trade balance is positive</w:t>
      </w:r>
      <w:r w:rsidRPr="0005535F">
        <w:rPr>
          <w:szCs w:val="24"/>
          <w:lang w:val="en-US"/>
        </w:rPr>
        <w:t xml:space="preserve"> with respect to developed North America countries and Western Asia countries.</w:t>
      </w:r>
    </w:p>
    <w:p w:rsidR="004C6E9D" w:rsidRDefault="004C6E9D" w:rsidP="00D40FC5">
      <w:pPr>
        <w:pStyle w:val="Paragrafoelenco"/>
        <w:spacing w:afterLines="200" w:line="360" w:lineRule="auto"/>
        <w:jc w:val="both"/>
        <w:rPr>
          <w:lang w:val="en-US"/>
        </w:rPr>
      </w:pPr>
    </w:p>
    <w:p w:rsidR="00E919A3" w:rsidRDefault="00111F99" w:rsidP="00D40FC5">
      <w:pPr>
        <w:pStyle w:val="Paragrafoelenco"/>
        <w:spacing w:afterLines="200" w:line="360" w:lineRule="auto"/>
        <w:jc w:val="both"/>
        <w:rPr>
          <w:lang w:val="en-US"/>
        </w:rPr>
      </w:pPr>
      <w:r>
        <w:rPr>
          <w:lang w:val="en-US"/>
        </w:rPr>
        <w:t xml:space="preserve">In spite of their vitality, few Italian </w:t>
      </w:r>
      <w:r w:rsidR="004C6E9D">
        <w:rPr>
          <w:lang w:val="en-US"/>
        </w:rPr>
        <w:t>SMEs</w:t>
      </w:r>
      <w:r w:rsidR="00FB10D7">
        <w:rPr>
          <w:lang w:val="en-US"/>
        </w:rPr>
        <w:t xml:space="preserve"> </w:t>
      </w:r>
      <w:r>
        <w:rPr>
          <w:lang w:val="en-US"/>
        </w:rPr>
        <w:t xml:space="preserve">are able to make the dimensional leap that would allow them to explore new markets and exploit new business opportunities. </w:t>
      </w:r>
      <w:r w:rsidR="00D36688">
        <w:rPr>
          <w:lang w:val="en-US"/>
        </w:rPr>
        <w:t xml:space="preserve">In fact, they are reluctant to go public, because they are too small </w:t>
      </w:r>
      <w:r w:rsidR="00DB7F69" w:rsidRPr="00DB7F69">
        <w:rPr>
          <w:lang w:val="en-US"/>
        </w:rPr>
        <w:t>to cope with the fixed costs associated with listing</w:t>
      </w:r>
      <w:r w:rsidR="00D36688">
        <w:rPr>
          <w:lang w:val="en-US"/>
        </w:rPr>
        <w:t xml:space="preserve"> and are not willing </w:t>
      </w:r>
      <w:r w:rsidR="00DB7F69" w:rsidRPr="00DB7F69">
        <w:rPr>
          <w:lang w:val="en-US"/>
        </w:rPr>
        <w:t xml:space="preserve">to accept greater transparency and contestability. </w:t>
      </w:r>
      <w:r w:rsidR="00D36688">
        <w:rPr>
          <w:lang w:val="en-US"/>
        </w:rPr>
        <w:t>In addition, t</w:t>
      </w:r>
      <w:r w:rsidR="00D36688" w:rsidRPr="00DB7F69">
        <w:rPr>
          <w:lang w:val="en-US"/>
        </w:rPr>
        <w:t>he development of trading platforms dedicated to medium-sized enterprises is unsatisfactory.</w:t>
      </w:r>
      <w:r w:rsidR="00D36688">
        <w:rPr>
          <w:lang w:val="en-US"/>
        </w:rPr>
        <w:t xml:space="preserve"> </w:t>
      </w:r>
      <w:r w:rsidR="004C6E9D" w:rsidRPr="00F12A68">
        <w:rPr>
          <w:lang w:val="en-US"/>
        </w:rPr>
        <w:t>Many dynamic and profitable medium enterprises can meet their financial needs only by resorting to bank finance, because of the obstacles they face to access to financial markets.</w:t>
      </w:r>
      <w:r w:rsidR="004C6E9D">
        <w:rPr>
          <w:lang w:val="en-US"/>
        </w:rPr>
        <w:t xml:space="preserve"> </w:t>
      </w:r>
    </w:p>
    <w:p w:rsidR="00E919A3" w:rsidRDefault="00E919A3" w:rsidP="00D40FC5">
      <w:pPr>
        <w:pStyle w:val="Paragrafoelenco"/>
        <w:spacing w:afterLines="200" w:line="360" w:lineRule="auto"/>
        <w:jc w:val="both"/>
        <w:rPr>
          <w:lang w:val="en-US"/>
        </w:rPr>
      </w:pPr>
    </w:p>
    <w:p w:rsidR="00E919A3" w:rsidRDefault="00D36688" w:rsidP="00D40FC5">
      <w:pPr>
        <w:pStyle w:val="Paragrafoelenco"/>
        <w:spacing w:afterLines="200" w:line="360" w:lineRule="auto"/>
        <w:jc w:val="both"/>
        <w:rPr>
          <w:highlight w:val="yellow"/>
          <w:lang w:val="en-US"/>
        </w:rPr>
      </w:pPr>
      <w:r>
        <w:rPr>
          <w:lang w:val="en-US"/>
        </w:rPr>
        <w:t xml:space="preserve">It is well known, however, that the current euro-area </w:t>
      </w:r>
      <w:r w:rsidR="00FC4FBD">
        <w:rPr>
          <w:lang w:val="en-US"/>
        </w:rPr>
        <w:t xml:space="preserve">crisis and </w:t>
      </w:r>
      <w:r>
        <w:rPr>
          <w:lang w:val="en-US"/>
        </w:rPr>
        <w:t xml:space="preserve"> t</w:t>
      </w:r>
      <w:r w:rsidRPr="00D36688">
        <w:rPr>
          <w:lang w:val="en-US"/>
        </w:rPr>
        <w:t xml:space="preserve">he new rules </w:t>
      </w:r>
      <w:r>
        <w:rPr>
          <w:lang w:val="en-US"/>
        </w:rPr>
        <w:t>laid down by Basel III introducing</w:t>
      </w:r>
      <w:r w:rsidRPr="00D36688">
        <w:rPr>
          <w:lang w:val="en-US"/>
        </w:rPr>
        <w:t xml:space="preserve"> more</w:t>
      </w:r>
      <w:r>
        <w:rPr>
          <w:lang w:val="en-US"/>
        </w:rPr>
        <w:t xml:space="preserve"> </w:t>
      </w:r>
      <w:r w:rsidRPr="00D36688">
        <w:rPr>
          <w:lang w:val="en-US"/>
        </w:rPr>
        <w:t>stringent capital requirements for credit risk</w:t>
      </w:r>
      <w:r w:rsidR="00FC4FBD">
        <w:rPr>
          <w:lang w:val="en-US"/>
        </w:rPr>
        <w:t xml:space="preserve"> </w:t>
      </w:r>
      <w:r w:rsidRPr="00D36688">
        <w:rPr>
          <w:lang w:val="en-US"/>
        </w:rPr>
        <w:t>inevitably entail a</w:t>
      </w:r>
      <w:r>
        <w:rPr>
          <w:lang w:val="en-US"/>
        </w:rPr>
        <w:t xml:space="preserve"> </w:t>
      </w:r>
      <w:r w:rsidR="00FC4FBD">
        <w:rPr>
          <w:lang w:val="en-US"/>
        </w:rPr>
        <w:t xml:space="preserve">credit </w:t>
      </w:r>
      <w:r w:rsidRPr="00D36688">
        <w:rPr>
          <w:lang w:val="en-US"/>
        </w:rPr>
        <w:t>rationing, above all in relation to the most risky and innovative</w:t>
      </w:r>
      <w:r>
        <w:rPr>
          <w:lang w:val="en-US"/>
        </w:rPr>
        <w:t xml:space="preserve"> </w:t>
      </w:r>
      <w:r w:rsidRPr="00D36688">
        <w:rPr>
          <w:lang w:val="en-US"/>
        </w:rPr>
        <w:t>enterprises.</w:t>
      </w:r>
      <w:r>
        <w:rPr>
          <w:lang w:val="en-US"/>
        </w:rPr>
        <w:t xml:space="preserve"> </w:t>
      </w:r>
      <w:r w:rsidRPr="00D36688">
        <w:rPr>
          <w:lang w:val="en-US"/>
        </w:rPr>
        <w:t xml:space="preserve">Expanding the role of the equity market is therefore a priority. </w:t>
      </w:r>
      <w:r w:rsidR="00E919A3">
        <w:rPr>
          <w:lang w:val="en-US"/>
        </w:rPr>
        <w:t>T</w:t>
      </w:r>
      <w:r w:rsidR="00E919A3" w:rsidRPr="00DB7F69">
        <w:rPr>
          <w:lang w:val="en-US"/>
        </w:rPr>
        <w:t>he role of institutional investors</w:t>
      </w:r>
      <w:r w:rsidR="00E919A3">
        <w:rPr>
          <w:lang w:val="en-US"/>
        </w:rPr>
        <w:t>, still too weak, will be crucial. O</w:t>
      </w:r>
      <w:r w:rsidR="00E919A3" w:rsidRPr="00DB7F69">
        <w:rPr>
          <w:lang w:val="en-US"/>
        </w:rPr>
        <w:t>nly speciali</w:t>
      </w:r>
      <w:r w:rsidR="00E919A3">
        <w:rPr>
          <w:lang w:val="en-US"/>
        </w:rPr>
        <w:t>z</w:t>
      </w:r>
      <w:r w:rsidR="00E919A3" w:rsidRPr="00DB7F69">
        <w:rPr>
          <w:lang w:val="en-US"/>
        </w:rPr>
        <w:t>ed investors</w:t>
      </w:r>
      <w:r w:rsidR="00E919A3">
        <w:rPr>
          <w:lang w:val="en-US"/>
        </w:rPr>
        <w:t xml:space="preserve">, </w:t>
      </w:r>
      <w:r w:rsidR="00E919A3" w:rsidRPr="00DB7F69">
        <w:rPr>
          <w:lang w:val="en-US"/>
        </w:rPr>
        <w:t xml:space="preserve">in particular those specialized in </w:t>
      </w:r>
      <w:r w:rsidR="00E919A3">
        <w:rPr>
          <w:lang w:val="en-US"/>
        </w:rPr>
        <w:t>seed and venture capital</w:t>
      </w:r>
      <w:r w:rsidR="00E919A3" w:rsidRPr="00DB7F69">
        <w:rPr>
          <w:lang w:val="en-US"/>
        </w:rPr>
        <w:t>, are</w:t>
      </w:r>
      <w:r w:rsidR="00E919A3">
        <w:rPr>
          <w:lang w:val="en-US"/>
        </w:rPr>
        <w:t xml:space="preserve"> able to adequately diversify and consequently absorb</w:t>
      </w:r>
      <w:r w:rsidR="00E919A3" w:rsidRPr="00DB7F69">
        <w:rPr>
          <w:lang w:val="en-US"/>
        </w:rPr>
        <w:t xml:space="preserve"> the physiological default rate that inevitably characteri</w:t>
      </w:r>
      <w:r w:rsidR="00E919A3">
        <w:rPr>
          <w:lang w:val="en-US"/>
        </w:rPr>
        <w:t>z</w:t>
      </w:r>
      <w:r w:rsidR="00E919A3" w:rsidRPr="00DB7F69">
        <w:rPr>
          <w:lang w:val="en-US"/>
        </w:rPr>
        <w:t>es the most innovative projects</w:t>
      </w:r>
      <w:r w:rsidR="00E919A3">
        <w:rPr>
          <w:lang w:val="en-US"/>
        </w:rPr>
        <w:t>.</w:t>
      </w:r>
    </w:p>
    <w:p w:rsidR="0003356E" w:rsidRDefault="0003356E" w:rsidP="00D40FC5">
      <w:pPr>
        <w:pStyle w:val="Paragrafoelenco"/>
        <w:spacing w:afterLines="200" w:line="360" w:lineRule="auto"/>
        <w:jc w:val="both"/>
        <w:rPr>
          <w:lang w:val="en-US"/>
        </w:rPr>
      </w:pPr>
    </w:p>
    <w:p w:rsidR="00FF4BB2" w:rsidRDefault="00E919A3" w:rsidP="00D40FC5">
      <w:pPr>
        <w:pStyle w:val="Paragrafoelenco"/>
        <w:spacing w:afterLines="200" w:line="360" w:lineRule="auto"/>
        <w:jc w:val="both"/>
        <w:rPr>
          <w:lang w:val="en-US"/>
        </w:rPr>
      </w:pPr>
      <w:r>
        <w:rPr>
          <w:lang w:val="en-US"/>
        </w:rPr>
        <w:t>On the demand side,</w:t>
      </w:r>
      <w:r w:rsidR="0017090B">
        <w:rPr>
          <w:lang w:val="en-US"/>
        </w:rPr>
        <w:t xml:space="preserve"> a traditional weakness of the Italian market is rooted in the limited size of the asset management industry and other institutional investors in the equity market such as pension funds. </w:t>
      </w:r>
      <w:r w:rsidR="00FF4BB2">
        <w:rPr>
          <w:lang w:val="en-US"/>
        </w:rPr>
        <w:t>The monitoring role these actors are able to exercise</w:t>
      </w:r>
      <w:r w:rsidR="00D149CA">
        <w:rPr>
          <w:lang w:val="en-US"/>
        </w:rPr>
        <w:t xml:space="preserve"> across the globe</w:t>
      </w:r>
      <w:r w:rsidR="00FF4BB2">
        <w:rPr>
          <w:lang w:val="en-US"/>
        </w:rPr>
        <w:t xml:space="preserve"> is consequently impaired and investor protection is </w:t>
      </w:r>
      <w:r w:rsidR="00D149CA">
        <w:rPr>
          <w:lang w:val="en-US"/>
        </w:rPr>
        <w:t>essentially</w:t>
      </w:r>
      <w:r w:rsidR="00FF4BB2">
        <w:rPr>
          <w:lang w:val="en-US"/>
        </w:rPr>
        <w:t xml:space="preserve"> entrusted to regulation.</w:t>
      </w:r>
      <w:r w:rsidR="00FF4BB2" w:rsidRPr="00FF4BB2">
        <w:rPr>
          <w:lang w:val="en-US"/>
        </w:rPr>
        <w:t xml:space="preserve"> </w:t>
      </w:r>
      <w:r w:rsidR="00FF4BB2">
        <w:rPr>
          <w:lang w:val="en-US"/>
        </w:rPr>
        <w:t>In this framework, c</w:t>
      </w:r>
      <w:r w:rsidR="00FF4BB2" w:rsidRPr="008D493B">
        <w:rPr>
          <w:lang w:val="en-US"/>
        </w:rPr>
        <w:t xml:space="preserve">orporate governance </w:t>
      </w:r>
      <w:r w:rsidR="00FF4BB2">
        <w:rPr>
          <w:lang w:val="en-US"/>
        </w:rPr>
        <w:t xml:space="preserve">rules can </w:t>
      </w:r>
      <w:r w:rsidR="00FF4BB2" w:rsidRPr="008D493B">
        <w:rPr>
          <w:lang w:val="en-US"/>
        </w:rPr>
        <w:t xml:space="preserve">play a very significant </w:t>
      </w:r>
      <w:r w:rsidR="00FF4BB2">
        <w:rPr>
          <w:lang w:val="en-US"/>
        </w:rPr>
        <w:t xml:space="preserve">(positive) </w:t>
      </w:r>
      <w:r w:rsidR="00FF4BB2" w:rsidRPr="008D493B">
        <w:rPr>
          <w:lang w:val="en-US"/>
        </w:rPr>
        <w:t xml:space="preserve">role in </w:t>
      </w:r>
      <w:r w:rsidR="00FF4BB2">
        <w:rPr>
          <w:lang w:val="en-US"/>
        </w:rPr>
        <w:t xml:space="preserve">fostering domestic and foreign equity investments, by reducing the risk </w:t>
      </w:r>
      <w:r w:rsidR="00FF4BB2">
        <w:rPr>
          <w:lang w:val="en-US"/>
        </w:rPr>
        <w:lastRenderedPageBreak/>
        <w:t xml:space="preserve">of frauds and </w:t>
      </w:r>
      <w:r w:rsidR="00FF4BB2" w:rsidRPr="0093685A">
        <w:rPr>
          <w:lang w:val="en-US"/>
        </w:rPr>
        <w:t>exploitation of minority shareholder</w:t>
      </w:r>
      <w:r w:rsidR="00FF4BB2">
        <w:rPr>
          <w:lang w:val="en-US"/>
        </w:rPr>
        <w:t xml:space="preserve">s. These latter, in turn, </w:t>
      </w:r>
      <w:r w:rsidR="00FF4BB2" w:rsidRPr="00E042A8">
        <w:rPr>
          <w:lang w:val="en-US"/>
        </w:rPr>
        <w:t xml:space="preserve">can </w:t>
      </w:r>
      <w:r w:rsidR="00FF4BB2">
        <w:rPr>
          <w:lang w:val="en-US"/>
        </w:rPr>
        <w:t xml:space="preserve">boost </w:t>
      </w:r>
      <w:r w:rsidR="00FF4BB2" w:rsidRPr="00E042A8">
        <w:rPr>
          <w:lang w:val="en-US"/>
        </w:rPr>
        <w:t>the country's economy in terms of employment growth, formation of the human capital, technological and organi</w:t>
      </w:r>
      <w:r w:rsidR="00FF4BB2">
        <w:rPr>
          <w:lang w:val="en-US"/>
        </w:rPr>
        <w:t>z</w:t>
      </w:r>
      <w:r w:rsidR="00FF4BB2" w:rsidRPr="00E042A8">
        <w:rPr>
          <w:lang w:val="en-US"/>
        </w:rPr>
        <w:t>ational innovation.</w:t>
      </w:r>
      <w:r w:rsidR="00FF4BB2">
        <w:rPr>
          <w:lang w:val="en-US"/>
        </w:rPr>
        <w:t xml:space="preserve"> </w:t>
      </w:r>
    </w:p>
    <w:p w:rsidR="00E919A3" w:rsidRDefault="00E919A3" w:rsidP="00D40FC5">
      <w:pPr>
        <w:pStyle w:val="Paragrafoelenco"/>
        <w:spacing w:afterLines="200" w:line="360" w:lineRule="auto"/>
        <w:jc w:val="both"/>
        <w:rPr>
          <w:lang w:val="en-US"/>
        </w:rPr>
      </w:pPr>
    </w:p>
    <w:p w:rsidR="0078682D" w:rsidRPr="006E5512" w:rsidRDefault="00D36688" w:rsidP="00D40FC5">
      <w:pPr>
        <w:pStyle w:val="Paragrafoelenco"/>
        <w:spacing w:afterLines="200" w:line="360" w:lineRule="auto"/>
        <w:jc w:val="both"/>
        <w:rPr>
          <w:szCs w:val="24"/>
          <w:lang w:val="en-US"/>
        </w:rPr>
      </w:pPr>
      <w:proofErr w:type="spellStart"/>
      <w:r w:rsidRPr="00D36688">
        <w:rPr>
          <w:lang w:val="en-US"/>
        </w:rPr>
        <w:t>Consob</w:t>
      </w:r>
      <w:proofErr w:type="spellEnd"/>
      <w:r w:rsidRPr="00D36688">
        <w:rPr>
          <w:lang w:val="en-US"/>
        </w:rPr>
        <w:t xml:space="preserve"> </w:t>
      </w:r>
      <w:r w:rsidR="0003356E">
        <w:rPr>
          <w:lang w:val="en-US"/>
        </w:rPr>
        <w:t xml:space="preserve">is </w:t>
      </w:r>
      <w:r w:rsidRPr="00D36688">
        <w:rPr>
          <w:lang w:val="en-US"/>
        </w:rPr>
        <w:t>work</w:t>
      </w:r>
      <w:r w:rsidR="0003356E">
        <w:rPr>
          <w:lang w:val="en-US"/>
        </w:rPr>
        <w:t>ing</w:t>
      </w:r>
      <w:r w:rsidRPr="00D36688">
        <w:rPr>
          <w:lang w:val="en-US"/>
        </w:rPr>
        <w:t xml:space="preserve"> for the development of the equity market</w:t>
      </w:r>
      <w:r w:rsidR="0003356E">
        <w:rPr>
          <w:lang w:val="en-US"/>
        </w:rPr>
        <w:t xml:space="preserve"> by </w:t>
      </w:r>
      <w:r w:rsidRPr="0003356E">
        <w:rPr>
          <w:lang w:val="en-US"/>
        </w:rPr>
        <w:t xml:space="preserve">acting </w:t>
      </w:r>
      <w:r w:rsidR="00E919A3">
        <w:rPr>
          <w:lang w:val="en-US"/>
        </w:rPr>
        <w:t xml:space="preserve">both on the supply side, by reducing </w:t>
      </w:r>
      <w:r w:rsidRPr="0003356E">
        <w:rPr>
          <w:lang w:val="en-US"/>
        </w:rPr>
        <w:t xml:space="preserve">the </w:t>
      </w:r>
      <w:r w:rsidR="0003356E">
        <w:rPr>
          <w:lang w:val="en-US"/>
        </w:rPr>
        <w:t xml:space="preserve">regulatory costs </w:t>
      </w:r>
      <w:r w:rsidRPr="0003356E">
        <w:rPr>
          <w:lang w:val="en-US"/>
        </w:rPr>
        <w:t xml:space="preserve">that </w:t>
      </w:r>
      <w:r w:rsidR="0003356E">
        <w:rPr>
          <w:lang w:val="en-US"/>
        </w:rPr>
        <w:t>may discourage firms from going public</w:t>
      </w:r>
      <w:r w:rsidR="00E919A3">
        <w:rPr>
          <w:lang w:val="en-US"/>
        </w:rPr>
        <w:t>,</w:t>
      </w:r>
      <w:r w:rsidR="0003356E">
        <w:rPr>
          <w:lang w:val="en-US"/>
        </w:rPr>
        <w:t xml:space="preserve"> </w:t>
      </w:r>
      <w:r w:rsidRPr="0003356E">
        <w:rPr>
          <w:lang w:val="en-US"/>
        </w:rPr>
        <w:t>and</w:t>
      </w:r>
      <w:r w:rsidR="0003356E">
        <w:rPr>
          <w:lang w:val="en-US"/>
        </w:rPr>
        <w:t xml:space="preserve"> </w:t>
      </w:r>
      <w:r w:rsidR="00E919A3">
        <w:rPr>
          <w:lang w:val="en-US"/>
        </w:rPr>
        <w:t xml:space="preserve">on the demand side, </w:t>
      </w:r>
      <w:r w:rsidR="0003356E">
        <w:rPr>
          <w:lang w:val="en-US"/>
        </w:rPr>
        <w:t xml:space="preserve">by </w:t>
      </w:r>
      <w:r w:rsidRPr="00D36688">
        <w:rPr>
          <w:lang w:val="en-US"/>
        </w:rPr>
        <w:t>stimulating the inflow of investments to the stock exchange</w:t>
      </w:r>
      <w:r w:rsidR="00FF4BB2">
        <w:rPr>
          <w:lang w:val="en-US"/>
        </w:rPr>
        <w:t xml:space="preserve"> through a sound system of safeguards</w:t>
      </w:r>
      <w:r w:rsidR="006E5512">
        <w:rPr>
          <w:lang w:val="en-US"/>
        </w:rPr>
        <w:t xml:space="preserve"> for minorities</w:t>
      </w:r>
      <w:r w:rsidRPr="00D36688">
        <w:rPr>
          <w:lang w:val="en-US"/>
        </w:rPr>
        <w:t>.</w:t>
      </w:r>
      <w:r w:rsidR="0003356E">
        <w:rPr>
          <w:lang w:val="en-US"/>
        </w:rPr>
        <w:t xml:space="preserve"> </w:t>
      </w:r>
      <w:proofErr w:type="spellStart"/>
      <w:r w:rsidR="0003356E">
        <w:rPr>
          <w:lang w:val="en-US"/>
        </w:rPr>
        <w:t>Consob</w:t>
      </w:r>
      <w:r w:rsidR="0078682D">
        <w:rPr>
          <w:lang w:val="en-US"/>
        </w:rPr>
        <w:t>’s</w:t>
      </w:r>
      <w:proofErr w:type="spellEnd"/>
      <w:r w:rsidR="0003356E">
        <w:rPr>
          <w:lang w:val="en-US"/>
        </w:rPr>
        <w:t xml:space="preserve"> </w:t>
      </w:r>
      <w:r w:rsidR="0078682D">
        <w:rPr>
          <w:lang w:val="en-US"/>
        </w:rPr>
        <w:t>effort</w:t>
      </w:r>
      <w:r w:rsidR="006E5512">
        <w:rPr>
          <w:lang w:val="en-US"/>
        </w:rPr>
        <w:t>s</w:t>
      </w:r>
      <w:r w:rsidR="0078682D">
        <w:rPr>
          <w:lang w:val="en-US"/>
        </w:rPr>
        <w:t xml:space="preserve"> </w:t>
      </w:r>
      <w:r w:rsidR="006E5512">
        <w:rPr>
          <w:lang w:val="en-US"/>
        </w:rPr>
        <w:t>are</w:t>
      </w:r>
      <w:r w:rsidR="0078682D">
        <w:rPr>
          <w:lang w:val="en-US"/>
        </w:rPr>
        <w:t xml:space="preserve"> aimed at </w:t>
      </w:r>
      <w:r w:rsidR="0003356E">
        <w:rPr>
          <w:lang w:val="en-US"/>
        </w:rPr>
        <w:t>s</w:t>
      </w:r>
      <w:r w:rsidR="0003356E" w:rsidRPr="00E042A8">
        <w:rPr>
          <w:lang w:val="en-US"/>
        </w:rPr>
        <w:t>eeking an effective balance between</w:t>
      </w:r>
      <w:r w:rsidR="0003356E">
        <w:rPr>
          <w:lang w:val="en-US"/>
        </w:rPr>
        <w:t xml:space="preserve"> </w:t>
      </w:r>
      <w:r w:rsidR="0078682D">
        <w:rPr>
          <w:lang w:val="en-US"/>
        </w:rPr>
        <w:t>cutting the cost of red tape for supervised firms and granting protection to investors.</w:t>
      </w:r>
      <w:r w:rsidR="006E5512">
        <w:rPr>
          <w:lang w:val="en-US"/>
        </w:rPr>
        <w:t xml:space="preserve"> However, not all Italian rules on corporate governance are designed at the domestic level</w:t>
      </w:r>
      <w:r w:rsidR="00D149CA">
        <w:rPr>
          <w:lang w:val="en-US"/>
        </w:rPr>
        <w:t xml:space="preserve"> as </w:t>
      </w:r>
      <w:r w:rsidR="006E5512">
        <w:rPr>
          <w:lang w:val="en-US"/>
        </w:rPr>
        <w:t xml:space="preserve">they </w:t>
      </w:r>
      <w:r w:rsidR="00D149CA">
        <w:rPr>
          <w:lang w:val="en-US"/>
        </w:rPr>
        <w:t xml:space="preserve">increasingly </w:t>
      </w:r>
      <w:r w:rsidR="006E5512">
        <w:rPr>
          <w:lang w:val="en-US"/>
        </w:rPr>
        <w:t>descend from European directives.</w:t>
      </w:r>
    </w:p>
    <w:p w:rsidR="00F230D5" w:rsidRPr="006E5512" w:rsidRDefault="00F230D5" w:rsidP="00D40FC5">
      <w:pPr>
        <w:pStyle w:val="Paragrafoelenco"/>
        <w:spacing w:afterLines="200" w:line="360" w:lineRule="auto"/>
        <w:jc w:val="both"/>
        <w:rPr>
          <w:szCs w:val="24"/>
          <w:lang w:val="en-US"/>
        </w:rPr>
      </w:pPr>
    </w:p>
    <w:p w:rsidR="00D36688" w:rsidRDefault="006E5512" w:rsidP="00D40FC5">
      <w:pPr>
        <w:pStyle w:val="Paragrafoelenco"/>
        <w:spacing w:afterLines="200" w:line="360" w:lineRule="auto"/>
        <w:jc w:val="both"/>
        <w:rPr>
          <w:b/>
          <w:lang w:val="en-US"/>
        </w:rPr>
      </w:pPr>
      <w:r>
        <w:rPr>
          <w:b/>
          <w:lang w:val="en-US"/>
        </w:rPr>
        <w:t xml:space="preserve">4. </w:t>
      </w:r>
      <w:r w:rsidR="00E422E6">
        <w:rPr>
          <w:b/>
          <w:lang w:val="en-US"/>
        </w:rPr>
        <w:t xml:space="preserve">   </w:t>
      </w:r>
      <w:r w:rsidRPr="006E5512">
        <w:rPr>
          <w:b/>
          <w:lang w:val="en-US"/>
        </w:rPr>
        <w:t>Corporate governance rules in Italy and in Europe</w:t>
      </w:r>
    </w:p>
    <w:p w:rsidR="00A5499C" w:rsidRPr="00635DD7" w:rsidRDefault="00A5499C" w:rsidP="00D40FC5">
      <w:pPr>
        <w:pStyle w:val="Paragrafoelenco"/>
        <w:spacing w:afterLines="200" w:line="360" w:lineRule="auto"/>
        <w:jc w:val="both"/>
        <w:rPr>
          <w:lang w:val="en-US"/>
        </w:rPr>
      </w:pPr>
    </w:p>
    <w:p w:rsidR="00DD3D7E" w:rsidRDefault="00AB2F9D" w:rsidP="00D40FC5">
      <w:pPr>
        <w:pStyle w:val="Paragrafoelenco"/>
        <w:spacing w:afterLines="200" w:line="360" w:lineRule="auto"/>
        <w:jc w:val="both"/>
        <w:rPr>
          <w:lang w:val="en-US"/>
        </w:rPr>
      </w:pPr>
      <w:r>
        <w:rPr>
          <w:lang w:val="en-US"/>
        </w:rPr>
        <w:t>At the EU level</w:t>
      </w:r>
      <w:r w:rsidR="005A54C6" w:rsidRPr="00A5499C">
        <w:rPr>
          <w:lang w:val="en-US"/>
        </w:rPr>
        <w:t xml:space="preserve">, since the </w:t>
      </w:r>
      <w:r w:rsidR="00DD3D7E">
        <w:rPr>
          <w:lang w:val="en-US"/>
        </w:rPr>
        <w:t>advent of the Financial Services Action Plan</w:t>
      </w:r>
      <w:r w:rsidR="005A54C6" w:rsidRPr="00A5499C">
        <w:rPr>
          <w:lang w:val="en-US"/>
        </w:rPr>
        <w:t>, the rules laid down to protect minority shareholders have undergone significant innovations</w:t>
      </w:r>
      <w:r w:rsidRPr="00AB2F9D">
        <w:rPr>
          <w:lang w:val="en-US"/>
        </w:rPr>
        <w:t xml:space="preserve"> </w:t>
      </w:r>
      <w:r>
        <w:rPr>
          <w:lang w:val="en-US"/>
        </w:rPr>
        <w:t>to make the market more attractive to investors</w:t>
      </w:r>
      <w:r w:rsidR="005A54C6" w:rsidRPr="00A5499C">
        <w:rPr>
          <w:lang w:val="en-US"/>
        </w:rPr>
        <w:t xml:space="preserve">. </w:t>
      </w:r>
      <w:r w:rsidR="005A54C6">
        <w:rPr>
          <w:lang w:val="en-US"/>
        </w:rPr>
        <w:t xml:space="preserve">A </w:t>
      </w:r>
      <w:r w:rsidR="005A54C6" w:rsidRPr="00A5499C">
        <w:rPr>
          <w:lang w:val="en-US"/>
        </w:rPr>
        <w:t>number of regulations relating to protection of minorities have been adapted from the more advanced common law systems</w:t>
      </w:r>
      <w:r w:rsidR="005A54C6">
        <w:rPr>
          <w:lang w:val="en-US"/>
        </w:rPr>
        <w:t>.</w:t>
      </w:r>
      <w:r w:rsidR="005A54C6" w:rsidRPr="00A5499C">
        <w:rPr>
          <w:lang w:val="en-US"/>
        </w:rPr>
        <w:t xml:space="preserve"> </w:t>
      </w:r>
      <w:r>
        <w:rPr>
          <w:lang w:val="en-US"/>
        </w:rPr>
        <w:t>For example, w</w:t>
      </w:r>
      <w:r w:rsidR="00D709AB">
        <w:rPr>
          <w:lang w:val="en-US"/>
        </w:rPr>
        <w:t>ith the Shareholder Rights Directive, p</w:t>
      </w:r>
      <w:r w:rsidR="005A54C6" w:rsidRPr="00A5499C">
        <w:rPr>
          <w:lang w:val="en-US"/>
        </w:rPr>
        <w:t xml:space="preserve">articipation in corporate decisions has been made easier, making </w:t>
      </w:r>
      <w:r w:rsidR="005A54C6">
        <w:rPr>
          <w:lang w:val="en-US"/>
        </w:rPr>
        <w:t xml:space="preserve">the convocation of </w:t>
      </w:r>
      <w:r w:rsidR="005A54C6" w:rsidRPr="00A5499C">
        <w:rPr>
          <w:lang w:val="en-US"/>
        </w:rPr>
        <w:t>shareholders' general meeting</w:t>
      </w:r>
      <w:r w:rsidR="005A54C6">
        <w:rPr>
          <w:lang w:val="en-US"/>
        </w:rPr>
        <w:t>s and</w:t>
      </w:r>
      <w:r w:rsidR="005A54C6" w:rsidRPr="00A5499C">
        <w:rPr>
          <w:lang w:val="en-US"/>
        </w:rPr>
        <w:t xml:space="preserve"> exercising voting rights</w:t>
      </w:r>
      <w:r w:rsidR="005A54C6">
        <w:rPr>
          <w:lang w:val="en-US"/>
        </w:rPr>
        <w:t xml:space="preserve"> easier. </w:t>
      </w:r>
      <w:r w:rsidR="00DD3D7E">
        <w:rPr>
          <w:lang w:val="en-US"/>
        </w:rPr>
        <w:t>C</w:t>
      </w:r>
      <w:r w:rsidR="005A54C6" w:rsidRPr="00A5499C">
        <w:rPr>
          <w:lang w:val="en-US"/>
        </w:rPr>
        <w:t>hanges in the area of directors’ remuneration</w:t>
      </w:r>
      <w:r w:rsidR="00DD3D7E">
        <w:rPr>
          <w:lang w:val="en-US"/>
        </w:rPr>
        <w:t xml:space="preserve">, which I mentioned before, </w:t>
      </w:r>
      <w:r w:rsidR="005A54C6" w:rsidRPr="00A5499C">
        <w:rPr>
          <w:lang w:val="en-US"/>
        </w:rPr>
        <w:t xml:space="preserve">constitute </w:t>
      </w:r>
      <w:r w:rsidR="00DD3D7E">
        <w:rPr>
          <w:lang w:val="en-US"/>
        </w:rPr>
        <w:t>another</w:t>
      </w:r>
      <w:r w:rsidR="005A54C6" w:rsidRPr="00A5499C">
        <w:rPr>
          <w:lang w:val="en-US"/>
        </w:rPr>
        <w:t xml:space="preserve"> piece of a regulatory mosaic which aims to increase the transparency of listed companies and to govern their conflicts of interest.</w:t>
      </w:r>
      <w:r w:rsidR="005A54C6">
        <w:rPr>
          <w:lang w:val="en-US"/>
        </w:rPr>
        <w:t xml:space="preserve"> </w:t>
      </w:r>
    </w:p>
    <w:p w:rsidR="00D709AB" w:rsidRPr="00AB2F9D" w:rsidRDefault="00D709AB" w:rsidP="00D40FC5">
      <w:pPr>
        <w:spacing w:afterLines="200" w:line="360" w:lineRule="auto"/>
        <w:ind w:left="720"/>
        <w:jc w:val="both"/>
        <w:rPr>
          <w:lang w:val="en-US"/>
        </w:rPr>
      </w:pPr>
      <w:r w:rsidRPr="00AB2F9D">
        <w:rPr>
          <w:lang w:val="en-US"/>
        </w:rPr>
        <w:t xml:space="preserve">Shareholder communication with the board of directors is gaining vital importance in corporate governance practices across Europe as investors (and in particular institutional investors) demand an increasing say in firm decisions. </w:t>
      </w:r>
      <w:r w:rsidR="00541013" w:rsidRPr="00AB2F9D">
        <w:rPr>
          <w:lang w:val="en-US"/>
        </w:rPr>
        <w:t>The EU Green Paper recognize the important role of shareholders, focusing on possible measures to take in order to encourage active shareholders’ participation and to realize a more efficient corporate governance system.</w:t>
      </w:r>
    </w:p>
    <w:p w:rsidR="00D709AB" w:rsidRPr="00AB2F9D" w:rsidRDefault="00D709AB" w:rsidP="00D40FC5">
      <w:pPr>
        <w:spacing w:afterLines="200" w:line="360" w:lineRule="auto"/>
        <w:ind w:left="720"/>
        <w:jc w:val="both"/>
        <w:rPr>
          <w:lang w:val="en-US"/>
        </w:rPr>
      </w:pPr>
      <w:r w:rsidRPr="00AB2F9D">
        <w:rPr>
          <w:lang w:val="en-US"/>
        </w:rPr>
        <w:t xml:space="preserve">The new EU rules on shareholder meetings, resulting from the implementation of the Shareholder Rights Directive pursue two aims: enhancing shareholders’ rights in listed </w:t>
      </w:r>
      <w:r w:rsidRPr="00AB2F9D">
        <w:rPr>
          <w:lang w:val="en-US"/>
        </w:rPr>
        <w:lastRenderedPageBreak/>
        <w:t xml:space="preserve">companies and tackling hindrances to cross-border voting. In order to do this, different provisions are provided. </w:t>
      </w:r>
    </w:p>
    <w:p w:rsidR="00AB2F9D" w:rsidRDefault="00D709AB" w:rsidP="00D40FC5">
      <w:pPr>
        <w:spacing w:afterLines="200" w:line="360" w:lineRule="auto"/>
        <w:ind w:left="720"/>
        <w:jc w:val="both"/>
        <w:rPr>
          <w:lang w:val="en-US"/>
        </w:rPr>
      </w:pPr>
      <w:r w:rsidRPr="00AB2F9D">
        <w:rPr>
          <w:lang w:val="en-US"/>
        </w:rPr>
        <w:t>First of all, it enhanced investor engagement by ensuring that shareholders are able to cast informed votes at the general meeting, having the sufficient time to consider the relevant information and documents. Secondly, the directive introduces the right to pull items on the agenda and to table draft resolutions. These rights have traditionally been recognized across major European countries. However, the actual exercise of these rights has often been subject to limitations, reducing their impact on corporate practices. Third, it introduces the right to ask questions on agenda items for every shareholder and the duty of the firm to answer. Fourth, it make it easier proxy appointment, stating that a proxy may even be given to an individual who has a conflict of interest, including, for instance, members of management or control bodies of the company of companies, under certain disclosure obligations. Finally, shareholders are not any more forced to keep their shares in the last few days before the AGM.</w:t>
      </w:r>
      <w:r w:rsidR="00C15387" w:rsidRPr="006F7B40">
        <w:rPr>
          <w:i/>
          <w:strike/>
          <w:lang w:val="en-US"/>
        </w:rPr>
        <w:t xml:space="preserve"> </w:t>
      </w:r>
    </w:p>
    <w:p w:rsidR="00AB2F9D" w:rsidRDefault="00AB2F9D" w:rsidP="00D40FC5">
      <w:pPr>
        <w:pStyle w:val="Paragrafoelenco"/>
        <w:spacing w:afterLines="200" w:line="360" w:lineRule="auto"/>
        <w:jc w:val="both"/>
        <w:rPr>
          <w:lang w:val="en-US"/>
        </w:rPr>
      </w:pPr>
      <w:r>
        <w:rPr>
          <w:lang w:val="en-US"/>
        </w:rPr>
        <w:t>To assess the effectiveness of current rules and the need for further improvement, two EU Green Papers on corporate governance (for financial and non-financial firms, respectively) have recently been published.</w:t>
      </w:r>
    </w:p>
    <w:p w:rsidR="00AB2F9D" w:rsidRDefault="00AB2F9D" w:rsidP="00D40FC5">
      <w:pPr>
        <w:pStyle w:val="Paragrafoelenco"/>
        <w:spacing w:afterLines="200" w:line="360" w:lineRule="auto"/>
        <w:jc w:val="both"/>
        <w:rPr>
          <w:lang w:val="en-US"/>
        </w:rPr>
      </w:pPr>
    </w:p>
    <w:p w:rsidR="005A54C6" w:rsidRDefault="00D709AB" w:rsidP="00D40FC5">
      <w:pPr>
        <w:pStyle w:val="Paragrafoelenco"/>
        <w:spacing w:afterLines="200" w:line="360" w:lineRule="auto"/>
        <w:jc w:val="both"/>
        <w:rPr>
          <w:lang w:val="en-US"/>
        </w:rPr>
      </w:pPr>
      <w:r>
        <w:rPr>
          <w:lang w:val="en-US"/>
        </w:rPr>
        <w:t xml:space="preserve">At the </w:t>
      </w:r>
      <w:r w:rsidR="006F7B40">
        <w:rPr>
          <w:lang w:val="en-US"/>
        </w:rPr>
        <w:t>national</w:t>
      </w:r>
      <w:r>
        <w:rPr>
          <w:lang w:val="en-US"/>
        </w:rPr>
        <w:t xml:space="preserve"> level, </w:t>
      </w:r>
      <w:r w:rsidR="006F7B40">
        <w:rPr>
          <w:lang w:val="en-US"/>
        </w:rPr>
        <w:t>recent</w:t>
      </w:r>
      <w:r w:rsidR="005A54C6">
        <w:rPr>
          <w:lang w:val="en-US"/>
        </w:rPr>
        <w:t xml:space="preserve"> reforms regarded the board structure, tackling in particular the traditional issues of interlocking directorships and gender quotas</w:t>
      </w:r>
      <w:r>
        <w:rPr>
          <w:lang w:val="en-US"/>
        </w:rPr>
        <w:t xml:space="preserve">, </w:t>
      </w:r>
      <w:r w:rsidR="006F7B40">
        <w:rPr>
          <w:lang w:val="en-US"/>
        </w:rPr>
        <w:t xml:space="preserve">while a specific novelty of Italy was the regulation on </w:t>
      </w:r>
      <w:r>
        <w:rPr>
          <w:lang w:val="en-US"/>
        </w:rPr>
        <w:t xml:space="preserve"> related party transactions.</w:t>
      </w:r>
    </w:p>
    <w:p w:rsidR="00417CF6" w:rsidRPr="00417CF6" w:rsidRDefault="007C434D" w:rsidP="00D40FC5">
      <w:pPr>
        <w:spacing w:afterLines="200" w:line="360" w:lineRule="auto"/>
        <w:ind w:left="720"/>
        <w:jc w:val="both"/>
        <w:rPr>
          <w:lang w:val="en-US"/>
        </w:rPr>
      </w:pPr>
      <w:r w:rsidRPr="00183DAE">
        <w:rPr>
          <w:b/>
          <w:lang w:val="en-US"/>
        </w:rPr>
        <w:t>1.</w:t>
      </w:r>
      <w:r>
        <w:rPr>
          <w:lang w:val="en-US"/>
        </w:rPr>
        <w:t xml:space="preserve"> Let </w:t>
      </w:r>
      <w:r w:rsidR="00BE6200">
        <w:rPr>
          <w:lang w:val="en-US"/>
        </w:rPr>
        <w:t xml:space="preserve">me </w:t>
      </w:r>
      <w:r>
        <w:rPr>
          <w:lang w:val="en-US"/>
        </w:rPr>
        <w:t xml:space="preserve">consider the first mechanism. The </w:t>
      </w:r>
      <w:r w:rsidRPr="00D24671">
        <w:rPr>
          <w:b/>
          <w:lang w:val="en-US"/>
        </w:rPr>
        <w:t>board of directors</w:t>
      </w:r>
      <w:r>
        <w:rPr>
          <w:lang w:val="en-US"/>
        </w:rPr>
        <w:t xml:space="preserve"> is the central body of corporate governance</w:t>
      </w:r>
      <w:r w:rsidR="00417CF6">
        <w:rPr>
          <w:lang w:val="en-US"/>
        </w:rPr>
        <w:t xml:space="preserve"> as it can challenge executive management</w:t>
      </w:r>
      <w:r>
        <w:rPr>
          <w:lang w:val="en-US"/>
        </w:rPr>
        <w:t>. It has the primary responsibility for determining and pursuing the strategic objectives of the issuer and has a vital part to play in the development of responsible companies. Its effectiveness crucially depends on its composition.</w:t>
      </w:r>
      <w:r w:rsidR="00417CF6">
        <w:rPr>
          <w:lang w:val="en-US"/>
        </w:rPr>
        <w:t xml:space="preserve"> </w:t>
      </w:r>
      <w:r>
        <w:rPr>
          <w:lang w:val="en-US"/>
        </w:rPr>
        <w:t xml:space="preserve"> </w:t>
      </w:r>
      <w:r w:rsidR="00417CF6">
        <w:rPr>
          <w:lang w:val="en-US"/>
        </w:rPr>
        <w:t xml:space="preserve">The recent EU Green Paper on Corporate Governance has emphasized the role of </w:t>
      </w:r>
      <w:r w:rsidR="001B17C8">
        <w:rPr>
          <w:lang w:val="en-US"/>
        </w:rPr>
        <w:t xml:space="preserve">the board and in particular of its chairperson and </w:t>
      </w:r>
      <w:r w:rsidR="00417CF6">
        <w:rPr>
          <w:lang w:val="en-US"/>
        </w:rPr>
        <w:t>non-executive members</w:t>
      </w:r>
      <w:r w:rsidR="001B17C8">
        <w:rPr>
          <w:lang w:val="en-US"/>
        </w:rPr>
        <w:t>. Non-executives’ diversity of</w:t>
      </w:r>
      <w:r w:rsidR="00417CF6">
        <w:rPr>
          <w:lang w:val="en-US"/>
        </w:rPr>
        <w:t xml:space="preserve"> views,</w:t>
      </w:r>
      <w:r w:rsidR="001B17C8">
        <w:rPr>
          <w:lang w:val="en-US"/>
        </w:rPr>
        <w:t xml:space="preserve"> gender,</w:t>
      </w:r>
      <w:r w:rsidR="00417CF6">
        <w:rPr>
          <w:lang w:val="en-US"/>
        </w:rPr>
        <w:t xml:space="preserve"> skills and professional experiences </w:t>
      </w:r>
      <w:r w:rsidR="001B17C8">
        <w:rPr>
          <w:lang w:val="en-US"/>
        </w:rPr>
        <w:t>(as well as time availability and - consequently - remuneration) is</w:t>
      </w:r>
      <w:r w:rsidR="00417CF6">
        <w:rPr>
          <w:lang w:val="en-US"/>
        </w:rPr>
        <w:t xml:space="preserve"> </w:t>
      </w:r>
      <w:r w:rsidR="001B17C8">
        <w:rPr>
          <w:lang w:val="en-US"/>
        </w:rPr>
        <w:t xml:space="preserve">considered as the </w:t>
      </w:r>
      <w:r w:rsidR="00417CF6">
        <w:rPr>
          <w:lang w:val="en-US"/>
        </w:rPr>
        <w:t xml:space="preserve">key to enhance their supervisory </w:t>
      </w:r>
      <w:r w:rsidR="001B17C8">
        <w:rPr>
          <w:lang w:val="en-US"/>
        </w:rPr>
        <w:t>role</w:t>
      </w:r>
      <w:r w:rsidR="00417CF6">
        <w:rPr>
          <w:lang w:val="en-US"/>
        </w:rPr>
        <w:t xml:space="preserve">. </w:t>
      </w:r>
    </w:p>
    <w:p w:rsidR="007C434D" w:rsidRPr="006F7B40" w:rsidRDefault="007C434D" w:rsidP="00D40FC5">
      <w:pPr>
        <w:spacing w:afterLines="200" w:line="360" w:lineRule="auto"/>
        <w:ind w:left="720"/>
        <w:jc w:val="both"/>
        <w:rPr>
          <w:lang w:val="en-US"/>
        </w:rPr>
      </w:pPr>
      <w:r>
        <w:rPr>
          <w:lang w:val="en-US"/>
        </w:rPr>
        <w:lastRenderedPageBreak/>
        <w:t>1.1 M</w:t>
      </w:r>
      <w:r w:rsidR="001B17C8">
        <w:rPr>
          <w:lang w:val="en-US"/>
        </w:rPr>
        <w:t>any</w:t>
      </w:r>
      <w:r>
        <w:rPr>
          <w:lang w:val="en-US"/>
        </w:rPr>
        <w:t xml:space="preserve"> regulatory efforts have concentrated on the issue of</w:t>
      </w:r>
      <w:r w:rsidRPr="00183DAE">
        <w:rPr>
          <w:b/>
          <w:lang w:val="en-US"/>
        </w:rPr>
        <w:t xml:space="preserve"> independence</w:t>
      </w:r>
      <w:r>
        <w:rPr>
          <w:lang w:val="en-US"/>
        </w:rPr>
        <w:t xml:space="preserve"> of the board. Many countries have introduced requirements that a minimum fraction of the board be composed by independent directors.</w:t>
      </w:r>
      <w:r w:rsidR="00DB7F69" w:rsidRPr="00DB7F69">
        <w:rPr>
          <w:lang w:val="en-US"/>
        </w:rPr>
        <w:t xml:space="preserve"> </w:t>
      </w:r>
      <w:r w:rsidR="00DB7F69">
        <w:rPr>
          <w:lang w:val="en-US"/>
        </w:rPr>
        <w:t xml:space="preserve">The rationale behind these regulations is that if directors are not dependent on the main shareholder (in continental countries) or on the CEO (in the others), they are more likely to defend shareholders’ interests and to express independent judgments. </w:t>
      </w:r>
    </w:p>
    <w:p w:rsidR="007C434D" w:rsidRPr="006F7B40" w:rsidRDefault="007C434D" w:rsidP="00D40FC5">
      <w:pPr>
        <w:spacing w:afterLines="200" w:line="360" w:lineRule="auto"/>
        <w:ind w:left="720"/>
        <w:jc w:val="both"/>
        <w:rPr>
          <w:i/>
          <w:strike/>
          <w:lang w:val="en-US"/>
        </w:rPr>
      </w:pPr>
      <w:r w:rsidRPr="006F7B40">
        <w:rPr>
          <w:lang w:val="en-US"/>
        </w:rPr>
        <w:t>In Italy the role of the independent director has been introduced by the Corporate Governance Code in the 1999</w:t>
      </w:r>
      <w:r w:rsidR="004C1866" w:rsidRPr="006F7B40">
        <w:rPr>
          <w:lang w:val="en-US"/>
        </w:rPr>
        <w:t xml:space="preserve">. </w:t>
      </w:r>
      <w:r w:rsidRPr="006F7B40">
        <w:rPr>
          <w:lang w:val="en-US"/>
        </w:rPr>
        <w:t xml:space="preserve">In the 2005, following the famous </w:t>
      </w:r>
      <w:proofErr w:type="spellStart"/>
      <w:r w:rsidRPr="006F7B40">
        <w:rPr>
          <w:lang w:val="en-US"/>
        </w:rPr>
        <w:t>Cirio</w:t>
      </w:r>
      <w:proofErr w:type="spellEnd"/>
      <w:r w:rsidRPr="006F7B40">
        <w:rPr>
          <w:lang w:val="en-US"/>
        </w:rPr>
        <w:t xml:space="preserve"> and </w:t>
      </w:r>
      <w:proofErr w:type="spellStart"/>
      <w:r w:rsidRPr="006F7B40">
        <w:rPr>
          <w:lang w:val="en-US"/>
        </w:rPr>
        <w:t>Parmalat</w:t>
      </w:r>
      <w:proofErr w:type="spellEnd"/>
      <w:r w:rsidRPr="006F7B40">
        <w:rPr>
          <w:lang w:val="en-US"/>
        </w:rPr>
        <w:t xml:space="preserve"> scandals, also the law introduced a provision related to independent directors, requiring that at least one member of the board (or two, if board size is higher than seven) has to be “independent”, ac</w:t>
      </w:r>
      <w:r w:rsidR="00DB7F69" w:rsidRPr="006F7B40">
        <w:rPr>
          <w:lang w:val="en-US"/>
        </w:rPr>
        <w:t xml:space="preserve">cording to the law definition. </w:t>
      </w:r>
    </w:p>
    <w:p w:rsidR="007C434D" w:rsidRPr="006F7B40" w:rsidRDefault="007C434D" w:rsidP="00D40FC5">
      <w:pPr>
        <w:spacing w:afterLines="200" w:line="360" w:lineRule="auto"/>
        <w:ind w:left="720"/>
        <w:jc w:val="both"/>
        <w:rPr>
          <w:i/>
          <w:strike/>
          <w:lang w:val="en-US"/>
        </w:rPr>
      </w:pPr>
      <w:r>
        <w:rPr>
          <w:lang w:val="en-US"/>
        </w:rPr>
        <w:t xml:space="preserve">1.2 Another relevant provision related to board composition concerns the role of </w:t>
      </w:r>
      <w:r w:rsidRPr="002851B0">
        <w:rPr>
          <w:b/>
          <w:lang w:val="en-US"/>
        </w:rPr>
        <w:t>directors appointed by minorities</w:t>
      </w:r>
      <w:r>
        <w:rPr>
          <w:lang w:val="en-US"/>
        </w:rPr>
        <w:t xml:space="preserve">. The process leading to board election is a key issue in corporate governance, and has come in the spotlight after the financial crisis. Italian regulation in this field is unique and has been mentioned by the EU commission in the Green Paper on corporate governance as a possible leading example. Since 2007 all listed companies are required to reserve at least one board seat to minority candidates. Hence, also shareholders with a small stake (i.e. minority shareholders) can present a slate and appoint a director. </w:t>
      </w:r>
      <w:r w:rsidR="00DB7F69">
        <w:rPr>
          <w:lang w:val="en-US"/>
        </w:rPr>
        <w:t xml:space="preserve">The rationale behind this provision is clear. A minority director can pursue the interests of all shareholders different from the controlling one better than any other director. </w:t>
      </w:r>
    </w:p>
    <w:p w:rsidR="005D6556" w:rsidRPr="006F7B40" w:rsidRDefault="005D6556" w:rsidP="00D40FC5">
      <w:pPr>
        <w:spacing w:afterLines="200" w:line="360" w:lineRule="auto"/>
        <w:ind w:left="720"/>
        <w:jc w:val="both"/>
        <w:rPr>
          <w:i/>
          <w:strike/>
          <w:lang w:val="en-US"/>
        </w:rPr>
      </w:pPr>
      <w:r>
        <w:rPr>
          <w:lang w:val="en-US"/>
        </w:rPr>
        <w:t xml:space="preserve">1.3 A widespread phenomenon which could undermine the effectiveness of board functioning is the </w:t>
      </w:r>
      <w:r w:rsidRPr="00357EC8">
        <w:rPr>
          <w:b/>
          <w:lang w:val="en-US"/>
        </w:rPr>
        <w:t>interlocking directorship</w:t>
      </w:r>
      <w:r>
        <w:rPr>
          <w:lang w:val="en-US"/>
        </w:rPr>
        <w:t>, defined as a situation in which a person affiliated with one organization sits on the board of directors of another organization. Two are the main negative consequences of this phenomenon. First, interlocking can reduce the monitoring effort exercised by the board because directors are busy; second, interlocking may foster collusion, either in the product market, to the detriment of competition and consumers, and in the takeover market, where interlocked firms help each other to prevent unwanted acquisitions. Despite criticisms interlocking directorates are diffused all around the world, as docum</w:t>
      </w:r>
      <w:r w:rsidR="00DE26E2">
        <w:rPr>
          <w:lang w:val="en-US"/>
        </w:rPr>
        <w:t xml:space="preserve">ented by a growing literature. </w:t>
      </w:r>
    </w:p>
    <w:p w:rsidR="005D6556" w:rsidRDefault="005D6556" w:rsidP="00D40FC5">
      <w:pPr>
        <w:spacing w:afterLines="200" w:line="360" w:lineRule="auto"/>
        <w:ind w:left="720"/>
        <w:jc w:val="both"/>
        <w:rPr>
          <w:lang w:val="en-US"/>
        </w:rPr>
      </w:pPr>
      <w:r>
        <w:rPr>
          <w:lang w:val="en-US"/>
        </w:rPr>
        <w:lastRenderedPageBreak/>
        <w:t xml:space="preserve">In order to limit the phenomenon, the government has recently introduced a provision expressly prohibiting interlocking directorship in the financial industry. The prohibition applies to holders of a seat in managerial, supervisory and control bodies as well as officers charged with managerial duties in companies or group of companies active in the banking, insurance and financial markets that hold, or exercise, similar offices in companies or group of companies active in the same products and geographic markets. </w:t>
      </w:r>
    </w:p>
    <w:p w:rsidR="007C434D" w:rsidRDefault="0086534C" w:rsidP="00D40FC5">
      <w:pPr>
        <w:spacing w:afterLines="200" w:line="360" w:lineRule="auto"/>
        <w:ind w:left="720"/>
        <w:jc w:val="both"/>
        <w:rPr>
          <w:lang w:val="en-US"/>
        </w:rPr>
      </w:pPr>
      <w:r>
        <w:rPr>
          <w:lang w:val="en-US"/>
        </w:rPr>
        <w:t>1.</w:t>
      </w:r>
      <w:r w:rsidR="00591ED0">
        <w:rPr>
          <w:lang w:val="en-US"/>
        </w:rPr>
        <w:t>4</w:t>
      </w:r>
      <w:r>
        <w:rPr>
          <w:lang w:val="en-US"/>
        </w:rPr>
        <w:t xml:space="preserve"> Least but not last, let me mention the </w:t>
      </w:r>
      <w:r w:rsidR="007C434D">
        <w:rPr>
          <w:lang w:val="en-US"/>
        </w:rPr>
        <w:t>provision</w:t>
      </w:r>
      <w:r>
        <w:rPr>
          <w:lang w:val="en-US"/>
        </w:rPr>
        <w:t>s</w:t>
      </w:r>
      <w:r w:rsidR="007C434D">
        <w:rPr>
          <w:lang w:val="en-US"/>
        </w:rPr>
        <w:t xml:space="preserve"> related to </w:t>
      </w:r>
      <w:r>
        <w:rPr>
          <w:b/>
          <w:lang w:val="en-US"/>
        </w:rPr>
        <w:t>gender quotas</w:t>
      </w:r>
      <w:r w:rsidR="007C434D">
        <w:rPr>
          <w:lang w:val="en-US"/>
        </w:rPr>
        <w:t xml:space="preserve">. </w:t>
      </w:r>
      <w:r w:rsidR="007C434D" w:rsidRPr="00452DE0">
        <w:rPr>
          <w:lang w:val="en-US"/>
        </w:rPr>
        <w:t xml:space="preserve">The importance of diversity in corporate boards has been </w:t>
      </w:r>
      <w:r w:rsidR="007C434D">
        <w:rPr>
          <w:lang w:val="en-US"/>
        </w:rPr>
        <w:t xml:space="preserve">extensively shown </w:t>
      </w:r>
      <w:r w:rsidR="007C434D" w:rsidRPr="00452DE0">
        <w:rPr>
          <w:lang w:val="en-US"/>
        </w:rPr>
        <w:t xml:space="preserve">in </w:t>
      </w:r>
      <w:r w:rsidR="007C434D">
        <w:rPr>
          <w:lang w:val="en-US"/>
        </w:rPr>
        <w:t xml:space="preserve">the empirical literature, which has tried to measure the effects of female representation on the adoption of good governance practices. A </w:t>
      </w:r>
      <w:r w:rsidR="007C434D" w:rsidRPr="0023183B">
        <w:rPr>
          <w:lang w:val="en-US"/>
        </w:rPr>
        <w:t>wider representation has been found to be associated with stronger attention to the handling of conflict of interests</w:t>
      </w:r>
      <w:r w:rsidR="007C434D">
        <w:rPr>
          <w:lang w:val="en-US"/>
        </w:rPr>
        <w:t>, with</w:t>
      </w:r>
      <w:r w:rsidR="007C434D" w:rsidRPr="0023183B">
        <w:rPr>
          <w:lang w:val="en-US"/>
        </w:rPr>
        <w:t xml:space="preserve"> </w:t>
      </w:r>
      <w:r w:rsidR="007C434D">
        <w:rPr>
          <w:lang w:val="en-US"/>
        </w:rPr>
        <w:t xml:space="preserve">a higher </w:t>
      </w:r>
      <w:r w:rsidR="007C434D" w:rsidRPr="0023183B">
        <w:rPr>
          <w:lang w:val="en-US"/>
        </w:rPr>
        <w:t>use of search consultants</w:t>
      </w:r>
      <w:r w:rsidR="007C434D">
        <w:rPr>
          <w:lang w:val="en-US"/>
        </w:rPr>
        <w:t>,</w:t>
      </w:r>
      <w:r w:rsidR="007C434D" w:rsidRPr="0023183B">
        <w:rPr>
          <w:lang w:val="en-US"/>
        </w:rPr>
        <w:t xml:space="preserve"> </w:t>
      </w:r>
      <w:r w:rsidR="007C434D">
        <w:rPr>
          <w:lang w:val="en-US"/>
        </w:rPr>
        <w:t>higher board</w:t>
      </w:r>
      <w:r w:rsidR="007C434D" w:rsidRPr="004518C1">
        <w:rPr>
          <w:lang w:val="en-US"/>
        </w:rPr>
        <w:t xml:space="preserve"> attendance, </w:t>
      </w:r>
      <w:r w:rsidR="007C434D">
        <w:rPr>
          <w:lang w:val="en-US"/>
        </w:rPr>
        <w:t xml:space="preserve">higher number of board </w:t>
      </w:r>
      <w:r w:rsidR="007C434D" w:rsidRPr="004518C1">
        <w:rPr>
          <w:lang w:val="en-US"/>
        </w:rPr>
        <w:t>meeting</w:t>
      </w:r>
      <w:r w:rsidR="007C434D">
        <w:rPr>
          <w:lang w:val="en-US"/>
        </w:rPr>
        <w:t>s</w:t>
      </w:r>
      <w:r w:rsidR="007C434D" w:rsidRPr="004518C1">
        <w:rPr>
          <w:lang w:val="en-US"/>
        </w:rPr>
        <w:t xml:space="preserve"> </w:t>
      </w:r>
      <w:r w:rsidR="007C434D">
        <w:rPr>
          <w:lang w:val="en-US"/>
        </w:rPr>
        <w:t>and a more frequent use of pay linked to performance.</w:t>
      </w:r>
      <w:r w:rsidR="007C434D" w:rsidRPr="00ED3CDE">
        <w:rPr>
          <w:lang w:val="en-US"/>
        </w:rPr>
        <w:t xml:space="preserve"> </w:t>
      </w:r>
    </w:p>
    <w:p w:rsidR="007C434D" w:rsidRPr="0086534C" w:rsidRDefault="007C434D" w:rsidP="00D40FC5">
      <w:pPr>
        <w:spacing w:afterLines="200" w:line="360" w:lineRule="auto"/>
        <w:ind w:left="720"/>
        <w:jc w:val="both"/>
        <w:rPr>
          <w:i/>
          <w:lang w:val="en-US"/>
        </w:rPr>
      </w:pPr>
      <w:r w:rsidRPr="00452DE0">
        <w:rPr>
          <w:lang w:val="en-US"/>
        </w:rPr>
        <w:t xml:space="preserve">The gender diversity issue is now also driving a policy debate which is leading a number of European countries to introduce some kind of compulsory quotas. After the leading example of </w:t>
      </w:r>
      <w:smartTag w:uri="urn:schemas-microsoft-com:office:smarttags" w:element="place">
        <w:smartTag w:uri="urn:schemas-microsoft-com:office:smarttags" w:element="country-region">
          <w:r w:rsidRPr="00452DE0">
            <w:rPr>
              <w:lang w:val="en-US"/>
            </w:rPr>
            <w:t>Norway</w:t>
          </w:r>
        </w:smartTag>
      </w:smartTag>
      <w:r w:rsidRPr="00452DE0">
        <w:rPr>
          <w:lang w:val="en-US"/>
        </w:rPr>
        <w:t>, gender quotas are currently on the agenda of rule makers around the world who aim at addressing the scant progress in increasing female representation</w:t>
      </w:r>
      <w:r>
        <w:rPr>
          <w:lang w:val="en-US"/>
        </w:rPr>
        <w:t xml:space="preserve">. </w:t>
      </w:r>
    </w:p>
    <w:p w:rsidR="007C434D" w:rsidRDefault="0053674E" w:rsidP="00D40FC5">
      <w:pPr>
        <w:spacing w:afterLines="200" w:line="360" w:lineRule="auto"/>
        <w:ind w:left="720"/>
        <w:jc w:val="both"/>
        <w:rPr>
          <w:lang w:val="en-US"/>
        </w:rPr>
      </w:pPr>
      <w:r>
        <w:rPr>
          <w:b/>
          <w:lang w:val="en-US"/>
        </w:rPr>
        <w:t>2</w:t>
      </w:r>
      <w:r w:rsidR="007C434D" w:rsidRPr="00AF505B">
        <w:rPr>
          <w:b/>
          <w:lang w:val="en-US"/>
        </w:rPr>
        <w:t>.</w:t>
      </w:r>
      <w:r w:rsidR="007C434D" w:rsidRPr="002A669D">
        <w:rPr>
          <w:lang w:val="en-US"/>
        </w:rPr>
        <w:t xml:space="preserve"> </w:t>
      </w:r>
      <w:r>
        <w:rPr>
          <w:lang w:val="en-US"/>
        </w:rPr>
        <w:t>L</w:t>
      </w:r>
      <w:r w:rsidR="00BE6200">
        <w:rPr>
          <w:lang w:val="en-US"/>
        </w:rPr>
        <w:t>et me</w:t>
      </w:r>
      <w:r w:rsidR="007C434D">
        <w:rPr>
          <w:lang w:val="en-US"/>
        </w:rPr>
        <w:t xml:space="preserve"> </w:t>
      </w:r>
      <w:r>
        <w:rPr>
          <w:lang w:val="en-US"/>
        </w:rPr>
        <w:t xml:space="preserve">secondly </w:t>
      </w:r>
      <w:r w:rsidR="007C434D">
        <w:rPr>
          <w:lang w:val="en-US"/>
        </w:rPr>
        <w:t xml:space="preserve">focus on the </w:t>
      </w:r>
      <w:r w:rsidR="00BE6200">
        <w:rPr>
          <w:lang w:val="en-US"/>
        </w:rPr>
        <w:t>issue</w:t>
      </w:r>
      <w:r w:rsidR="007C434D">
        <w:rPr>
          <w:lang w:val="en-US"/>
        </w:rPr>
        <w:t xml:space="preserve"> of </w:t>
      </w:r>
      <w:r w:rsidR="007C434D" w:rsidRPr="00A97A37">
        <w:rPr>
          <w:b/>
          <w:lang w:val="en-US"/>
        </w:rPr>
        <w:t>related party transactions</w:t>
      </w:r>
      <w:r w:rsidR="007C434D">
        <w:rPr>
          <w:lang w:val="en-US"/>
        </w:rPr>
        <w:t>.</w:t>
      </w:r>
    </w:p>
    <w:p w:rsidR="007C434D" w:rsidRDefault="007C434D" w:rsidP="00D40FC5">
      <w:pPr>
        <w:spacing w:afterLines="200" w:line="360" w:lineRule="auto"/>
        <w:ind w:left="720"/>
        <w:jc w:val="both"/>
        <w:rPr>
          <w:lang w:val="en-US"/>
        </w:rPr>
      </w:pPr>
      <w:r w:rsidRPr="00A33DFB">
        <w:rPr>
          <w:lang w:val="en-US"/>
        </w:rPr>
        <w:t>Agency problems and tunneling are traditional features of corporate governance in Italy. In a system of concentrated ownership, majority shareholders have both the incentives and the means to monitor managers but they also face the temptation to extract private benefits of control to the detriment of minorities. Bilateral transactions between the company and its controlling agent, generally referred to as self-dealing, raise major concerns for minority protection in that the transfer price could favor the controlling or related party at the expense of outside investors</w:t>
      </w:r>
      <w:r>
        <w:rPr>
          <w:lang w:val="en-US"/>
        </w:rPr>
        <w:t xml:space="preserve">. </w:t>
      </w:r>
      <w:r w:rsidRPr="00A33DFB">
        <w:rPr>
          <w:lang w:val="en-US"/>
        </w:rPr>
        <w:t>A new regulation on related party transactions has been in force in Italy since the beginning of 2011</w:t>
      </w:r>
      <w:r>
        <w:rPr>
          <w:lang w:val="en-US"/>
        </w:rPr>
        <w:t>.</w:t>
      </w:r>
    </w:p>
    <w:p w:rsidR="00317026" w:rsidRDefault="007C434D" w:rsidP="00D40FC5">
      <w:pPr>
        <w:spacing w:afterLines="200" w:line="360" w:lineRule="auto"/>
        <w:ind w:left="720"/>
        <w:jc w:val="both"/>
        <w:rPr>
          <w:lang w:val="en-US"/>
        </w:rPr>
      </w:pPr>
      <w:r w:rsidRPr="00892EB9">
        <w:rPr>
          <w:lang w:val="en-US"/>
        </w:rPr>
        <w:lastRenderedPageBreak/>
        <w:t xml:space="preserve">The </w:t>
      </w:r>
      <w:r>
        <w:rPr>
          <w:lang w:val="en-US"/>
        </w:rPr>
        <w:t xml:space="preserve">new </w:t>
      </w:r>
      <w:r w:rsidRPr="00892EB9">
        <w:rPr>
          <w:lang w:val="en-US"/>
        </w:rPr>
        <w:t>rules cover both RPTs disclosure and their approval, by defining the procedural steps that companies must take to ensure RPTs fairness. The disclosure and procedural requirements are differentiated depending on the transaction’s magnitude, i.e. its materiality. While a general procedure is envisaged for RPTs, stricter approval requirements are to be followed when the transaction is material. Both procedures rely on independent directors as the primary gatekeepers in charge of ensuring the RPTs’</w:t>
      </w:r>
      <w:r w:rsidRPr="00892EB9" w:rsidDel="0033178A">
        <w:rPr>
          <w:lang w:val="en-US"/>
        </w:rPr>
        <w:t xml:space="preserve"> </w:t>
      </w:r>
      <w:r w:rsidRPr="00892EB9">
        <w:rPr>
          <w:lang w:val="en-US"/>
        </w:rPr>
        <w:t xml:space="preserve">fairness. </w:t>
      </w:r>
    </w:p>
    <w:p w:rsidR="00116BF1" w:rsidRPr="00E422E6" w:rsidRDefault="00E422E6" w:rsidP="00D40FC5">
      <w:pPr>
        <w:spacing w:afterLines="200" w:line="360" w:lineRule="auto"/>
        <w:ind w:left="720"/>
        <w:jc w:val="both"/>
        <w:rPr>
          <w:b/>
          <w:lang w:val="en-US"/>
        </w:rPr>
      </w:pPr>
      <w:r>
        <w:rPr>
          <w:b/>
          <w:lang w:val="en-US"/>
        </w:rPr>
        <w:t xml:space="preserve">5.   </w:t>
      </w:r>
      <w:r w:rsidR="00FD7EF8" w:rsidRPr="00E422E6">
        <w:rPr>
          <w:b/>
          <w:lang w:val="en-US"/>
        </w:rPr>
        <w:t>C</w:t>
      </w:r>
      <w:r w:rsidRPr="00E422E6">
        <w:rPr>
          <w:b/>
          <w:lang w:val="en-US"/>
        </w:rPr>
        <w:t>onclusion</w:t>
      </w:r>
    </w:p>
    <w:p w:rsidR="00FA0146" w:rsidRPr="00FA0146" w:rsidRDefault="00713BA1" w:rsidP="00D40FC5">
      <w:pPr>
        <w:pStyle w:val="Paragrafoelenco"/>
        <w:spacing w:afterLines="200" w:line="360" w:lineRule="auto"/>
        <w:ind w:left="709"/>
        <w:jc w:val="both"/>
        <w:rPr>
          <w:lang w:val="en-US"/>
        </w:rPr>
      </w:pPr>
      <w:r w:rsidRPr="00FA0146">
        <w:rPr>
          <w:lang w:val="en-US"/>
        </w:rPr>
        <w:t xml:space="preserve">As I mentioned </w:t>
      </w:r>
      <w:r w:rsidR="00427B1C">
        <w:rPr>
          <w:lang w:val="en-US"/>
        </w:rPr>
        <w:t>at</w:t>
      </w:r>
      <w:r w:rsidRPr="00FA0146">
        <w:rPr>
          <w:lang w:val="en-US"/>
        </w:rPr>
        <w:t xml:space="preserve"> the beginning, corporate governance can play a very significant role in the development of equity markets. If minority shareholders are adequately protected, savings flow to businesses through the stock exchange, and share ownership broadens. </w:t>
      </w:r>
      <w:proofErr w:type="spellStart"/>
      <w:r w:rsidR="00965BEA" w:rsidRPr="00FA0146">
        <w:rPr>
          <w:bCs/>
          <w:lang w:val="en-US"/>
        </w:rPr>
        <w:t>Consob</w:t>
      </w:r>
      <w:proofErr w:type="spellEnd"/>
      <w:r w:rsidR="00965BEA" w:rsidRPr="00FA0146">
        <w:rPr>
          <w:bCs/>
          <w:lang w:val="en-US"/>
        </w:rPr>
        <w:t xml:space="preserve"> aims at easing the development of the Italian equity market by</w:t>
      </w:r>
      <w:r w:rsidR="00965BEA" w:rsidRPr="00FA0146">
        <w:rPr>
          <w:lang w:val="en-US"/>
        </w:rPr>
        <w:t xml:space="preserve"> </w:t>
      </w:r>
      <w:r w:rsidR="00965BEA" w:rsidRPr="00FA0146">
        <w:rPr>
          <w:bCs/>
          <w:lang w:val="en-US"/>
        </w:rPr>
        <w:t>enhancing investor prot</w:t>
      </w:r>
      <w:r w:rsidRPr="00FA0146">
        <w:rPr>
          <w:bCs/>
          <w:lang w:val="en-US"/>
        </w:rPr>
        <w:t xml:space="preserve">ection and minority rights. At the same time, </w:t>
      </w:r>
      <w:proofErr w:type="spellStart"/>
      <w:r w:rsidRPr="00FA0146">
        <w:rPr>
          <w:bCs/>
          <w:lang w:val="en-US"/>
        </w:rPr>
        <w:t>Consob</w:t>
      </w:r>
      <w:proofErr w:type="spellEnd"/>
      <w:r w:rsidRPr="00FA0146">
        <w:rPr>
          <w:bCs/>
          <w:lang w:val="en-US"/>
        </w:rPr>
        <w:t xml:space="preserve"> is aware that</w:t>
      </w:r>
      <w:r w:rsidR="00965BEA" w:rsidRPr="00FA0146">
        <w:rPr>
          <w:bCs/>
          <w:lang w:val="en-US"/>
        </w:rPr>
        <w:t xml:space="preserve"> reducing unnecessary regulatory burdens</w:t>
      </w:r>
      <w:r w:rsidRPr="00FA0146">
        <w:rPr>
          <w:bCs/>
          <w:lang w:val="en-US"/>
        </w:rPr>
        <w:t xml:space="preserve"> is vital</w:t>
      </w:r>
      <w:r w:rsidR="00965BEA" w:rsidRPr="00FA0146">
        <w:rPr>
          <w:bCs/>
          <w:lang w:val="en-US"/>
        </w:rPr>
        <w:t xml:space="preserve">. </w:t>
      </w:r>
      <w:r w:rsidR="00965BEA" w:rsidRPr="00FA0146">
        <w:rPr>
          <w:lang w:val="en-US"/>
        </w:rPr>
        <w:t xml:space="preserve">While increasing consumers’ confidence in the financial market is the key to foster their demand for equity, cutting the red tape is crucial if we want to provide companies with the appropriate incentives to go public. </w:t>
      </w:r>
    </w:p>
    <w:p w:rsidR="00FA0146" w:rsidRPr="00FA0146" w:rsidRDefault="00FA0146" w:rsidP="00D40FC5">
      <w:pPr>
        <w:pStyle w:val="Paragrafoelenco"/>
        <w:spacing w:afterLines="200" w:line="360" w:lineRule="auto"/>
        <w:ind w:left="709"/>
        <w:jc w:val="both"/>
        <w:rPr>
          <w:lang w:val="en-US"/>
        </w:rPr>
      </w:pPr>
    </w:p>
    <w:p w:rsidR="00965BEA" w:rsidRDefault="00FA0146" w:rsidP="00D40FC5">
      <w:pPr>
        <w:pStyle w:val="Paragrafoelenco"/>
        <w:spacing w:afterLines="200" w:line="360" w:lineRule="auto"/>
        <w:ind w:left="709"/>
        <w:jc w:val="both"/>
        <w:rPr>
          <w:bCs/>
          <w:iCs/>
          <w:lang w:val="en-US"/>
        </w:rPr>
      </w:pPr>
      <w:r w:rsidRPr="00FA0146">
        <w:rPr>
          <w:lang w:val="en-US"/>
        </w:rPr>
        <w:t>La</w:t>
      </w:r>
      <w:r w:rsidR="00427B1C">
        <w:rPr>
          <w:lang w:val="en-US"/>
        </w:rPr>
        <w:t>s</w:t>
      </w:r>
      <w:r w:rsidRPr="00FA0146">
        <w:rPr>
          <w:lang w:val="en-US"/>
        </w:rPr>
        <w:t xml:space="preserve">t year </w:t>
      </w:r>
      <w:proofErr w:type="spellStart"/>
      <w:r w:rsidR="00965BEA" w:rsidRPr="00FA0146">
        <w:rPr>
          <w:lang w:val="en-US"/>
        </w:rPr>
        <w:t>Consob</w:t>
      </w:r>
      <w:proofErr w:type="spellEnd"/>
      <w:r w:rsidR="00965BEA" w:rsidRPr="00FA0146">
        <w:rPr>
          <w:lang w:val="en-US"/>
        </w:rPr>
        <w:t xml:space="preserve"> face</w:t>
      </w:r>
      <w:r w:rsidRPr="00FA0146">
        <w:rPr>
          <w:lang w:val="en-US"/>
        </w:rPr>
        <w:t xml:space="preserve">d </w:t>
      </w:r>
      <w:r w:rsidR="00965BEA" w:rsidRPr="00FA0146">
        <w:rPr>
          <w:lang w:val="en-US"/>
        </w:rPr>
        <w:t>these challenges</w:t>
      </w:r>
      <w:r w:rsidRPr="00FA0146">
        <w:rPr>
          <w:lang w:val="en-US"/>
        </w:rPr>
        <w:t xml:space="preserve"> through an ad hoc working group that I personally chaired. Open to all relevant stakeholders, it aimed at reducing</w:t>
      </w:r>
      <w:r w:rsidR="00965BEA" w:rsidRPr="00FA0146">
        <w:rPr>
          <w:lang w:val="en-US"/>
        </w:rPr>
        <w:t xml:space="preserve"> to the minimum all the unnecessary burde</w:t>
      </w:r>
      <w:r w:rsidRPr="00FA0146">
        <w:rPr>
          <w:lang w:val="en-US"/>
        </w:rPr>
        <w:t xml:space="preserve">ns that were accumulated in </w:t>
      </w:r>
      <w:r w:rsidR="00965BEA" w:rsidRPr="00FA0146">
        <w:rPr>
          <w:lang w:val="en-US"/>
        </w:rPr>
        <w:t>past</w:t>
      </w:r>
      <w:r w:rsidRPr="00FA0146">
        <w:rPr>
          <w:lang w:val="en-US"/>
        </w:rPr>
        <w:t xml:space="preserve"> streams of regulation</w:t>
      </w:r>
      <w:r w:rsidR="00965BEA" w:rsidRPr="00FA0146">
        <w:rPr>
          <w:lang w:val="en-US"/>
        </w:rPr>
        <w:t>.</w:t>
      </w:r>
      <w:r w:rsidRPr="00FA0146">
        <w:rPr>
          <w:lang w:val="en-US"/>
        </w:rPr>
        <w:t xml:space="preserve"> As a result of this process, the Italian financial markets regulation is now perfectly in line with minimum EU standards </w:t>
      </w:r>
      <w:r w:rsidR="00427B1C">
        <w:rPr>
          <w:lang w:val="en-US"/>
        </w:rPr>
        <w:t xml:space="preserve">(i.e. it refrains from gold-plating EU law) </w:t>
      </w:r>
      <w:r w:rsidRPr="00FA0146">
        <w:rPr>
          <w:lang w:val="en-US"/>
        </w:rPr>
        <w:t xml:space="preserve">while it concentrates further efforts in few key areas where the Italian market characteristics require enhanced investor protection. </w:t>
      </w:r>
      <w:r w:rsidR="00965BEA" w:rsidRPr="00FA0146">
        <w:rPr>
          <w:lang w:val="en-US"/>
        </w:rPr>
        <w:t xml:space="preserve"> </w:t>
      </w:r>
      <w:r w:rsidRPr="00FA0146">
        <w:rPr>
          <w:bCs/>
          <w:iCs/>
          <w:lang w:val="en-US"/>
        </w:rPr>
        <w:t>I</w:t>
      </w:r>
      <w:r w:rsidR="00965BEA" w:rsidRPr="00FA0146">
        <w:rPr>
          <w:bCs/>
          <w:iCs/>
          <w:lang w:val="en-US"/>
        </w:rPr>
        <w:t xml:space="preserve"> believe </w:t>
      </w:r>
      <w:r w:rsidR="008663BC">
        <w:rPr>
          <w:bCs/>
          <w:iCs/>
          <w:lang w:val="en-US"/>
        </w:rPr>
        <w:t>an</w:t>
      </w:r>
      <w:r w:rsidR="00965BEA" w:rsidRPr="00FA0146">
        <w:rPr>
          <w:bCs/>
          <w:iCs/>
          <w:lang w:val="en-US"/>
        </w:rPr>
        <w:t xml:space="preserve"> appropriate balance of investor protection and essential regulation is the best way for welcoming and encourage Italian businesses and foreign investments.</w:t>
      </w:r>
    </w:p>
    <w:p w:rsidR="005C2C6B" w:rsidRPr="005C2C6B" w:rsidRDefault="005C2C6B" w:rsidP="00C344A8">
      <w:pPr>
        <w:pStyle w:val="Paragrafoelenco"/>
        <w:spacing w:afterLines="200" w:line="360" w:lineRule="auto"/>
        <w:ind w:left="1080"/>
        <w:jc w:val="both"/>
        <w:rPr>
          <w:lang w:val="en-US"/>
        </w:rPr>
      </w:pPr>
    </w:p>
    <w:sectPr w:rsidR="005C2C6B" w:rsidRPr="005C2C6B" w:rsidSect="00EC3EE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248" w:rsidRDefault="00C27248" w:rsidP="00A5499C">
      <w:pPr>
        <w:spacing w:after="0" w:line="240" w:lineRule="auto"/>
      </w:pPr>
      <w:r>
        <w:separator/>
      </w:r>
    </w:p>
  </w:endnote>
  <w:endnote w:type="continuationSeparator" w:id="0">
    <w:p w:rsidR="00C27248" w:rsidRDefault="00C27248" w:rsidP="00A54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248" w:rsidRDefault="00C27248" w:rsidP="00A5499C">
      <w:pPr>
        <w:spacing w:after="0" w:line="240" w:lineRule="auto"/>
      </w:pPr>
      <w:r>
        <w:separator/>
      </w:r>
    </w:p>
  </w:footnote>
  <w:footnote w:type="continuationSeparator" w:id="0">
    <w:p w:rsidR="00C27248" w:rsidRDefault="00C27248" w:rsidP="00A549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9DA"/>
    <w:multiLevelType w:val="hybridMultilevel"/>
    <w:tmpl w:val="E03878B2"/>
    <w:lvl w:ilvl="0" w:tplc="CA62B2A6">
      <w:start w:val="1"/>
      <w:numFmt w:val="bullet"/>
      <w:lvlText w:val="•"/>
      <w:lvlJc w:val="left"/>
      <w:pPr>
        <w:tabs>
          <w:tab w:val="num" w:pos="720"/>
        </w:tabs>
        <w:ind w:left="720" w:hanging="360"/>
      </w:pPr>
      <w:rPr>
        <w:rFonts w:ascii="Arial" w:hAnsi="Arial" w:hint="default"/>
      </w:rPr>
    </w:lvl>
    <w:lvl w:ilvl="1" w:tplc="00C0402A" w:tentative="1">
      <w:start w:val="1"/>
      <w:numFmt w:val="bullet"/>
      <w:lvlText w:val="•"/>
      <w:lvlJc w:val="left"/>
      <w:pPr>
        <w:tabs>
          <w:tab w:val="num" w:pos="1440"/>
        </w:tabs>
        <w:ind w:left="1440" w:hanging="360"/>
      </w:pPr>
      <w:rPr>
        <w:rFonts w:ascii="Arial" w:hAnsi="Arial" w:hint="default"/>
      </w:rPr>
    </w:lvl>
    <w:lvl w:ilvl="2" w:tplc="FD16F480" w:tentative="1">
      <w:start w:val="1"/>
      <w:numFmt w:val="bullet"/>
      <w:lvlText w:val="•"/>
      <w:lvlJc w:val="left"/>
      <w:pPr>
        <w:tabs>
          <w:tab w:val="num" w:pos="2160"/>
        </w:tabs>
        <w:ind w:left="2160" w:hanging="360"/>
      </w:pPr>
      <w:rPr>
        <w:rFonts w:ascii="Arial" w:hAnsi="Arial" w:hint="default"/>
      </w:rPr>
    </w:lvl>
    <w:lvl w:ilvl="3" w:tplc="5C8280A6" w:tentative="1">
      <w:start w:val="1"/>
      <w:numFmt w:val="bullet"/>
      <w:lvlText w:val="•"/>
      <w:lvlJc w:val="left"/>
      <w:pPr>
        <w:tabs>
          <w:tab w:val="num" w:pos="2880"/>
        </w:tabs>
        <w:ind w:left="2880" w:hanging="360"/>
      </w:pPr>
      <w:rPr>
        <w:rFonts w:ascii="Arial" w:hAnsi="Arial" w:hint="default"/>
      </w:rPr>
    </w:lvl>
    <w:lvl w:ilvl="4" w:tplc="CB46B35C" w:tentative="1">
      <w:start w:val="1"/>
      <w:numFmt w:val="bullet"/>
      <w:lvlText w:val="•"/>
      <w:lvlJc w:val="left"/>
      <w:pPr>
        <w:tabs>
          <w:tab w:val="num" w:pos="3600"/>
        </w:tabs>
        <w:ind w:left="3600" w:hanging="360"/>
      </w:pPr>
      <w:rPr>
        <w:rFonts w:ascii="Arial" w:hAnsi="Arial" w:hint="default"/>
      </w:rPr>
    </w:lvl>
    <w:lvl w:ilvl="5" w:tplc="50E0F4B6" w:tentative="1">
      <w:start w:val="1"/>
      <w:numFmt w:val="bullet"/>
      <w:lvlText w:val="•"/>
      <w:lvlJc w:val="left"/>
      <w:pPr>
        <w:tabs>
          <w:tab w:val="num" w:pos="4320"/>
        </w:tabs>
        <w:ind w:left="4320" w:hanging="360"/>
      </w:pPr>
      <w:rPr>
        <w:rFonts w:ascii="Arial" w:hAnsi="Arial" w:hint="default"/>
      </w:rPr>
    </w:lvl>
    <w:lvl w:ilvl="6" w:tplc="6F72D0D8" w:tentative="1">
      <w:start w:val="1"/>
      <w:numFmt w:val="bullet"/>
      <w:lvlText w:val="•"/>
      <w:lvlJc w:val="left"/>
      <w:pPr>
        <w:tabs>
          <w:tab w:val="num" w:pos="5040"/>
        </w:tabs>
        <w:ind w:left="5040" w:hanging="360"/>
      </w:pPr>
      <w:rPr>
        <w:rFonts w:ascii="Arial" w:hAnsi="Arial" w:hint="default"/>
      </w:rPr>
    </w:lvl>
    <w:lvl w:ilvl="7" w:tplc="875A3314" w:tentative="1">
      <w:start w:val="1"/>
      <w:numFmt w:val="bullet"/>
      <w:lvlText w:val="•"/>
      <w:lvlJc w:val="left"/>
      <w:pPr>
        <w:tabs>
          <w:tab w:val="num" w:pos="5760"/>
        </w:tabs>
        <w:ind w:left="5760" w:hanging="360"/>
      </w:pPr>
      <w:rPr>
        <w:rFonts w:ascii="Arial" w:hAnsi="Arial" w:hint="default"/>
      </w:rPr>
    </w:lvl>
    <w:lvl w:ilvl="8" w:tplc="11E27E60" w:tentative="1">
      <w:start w:val="1"/>
      <w:numFmt w:val="bullet"/>
      <w:lvlText w:val="•"/>
      <w:lvlJc w:val="left"/>
      <w:pPr>
        <w:tabs>
          <w:tab w:val="num" w:pos="6480"/>
        </w:tabs>
        <w:ind w:left="6480" w:hanging="360"/>
      </w:pPr>
      <w:rPr>
        <w:rFonts w:ascii="Arial" w:hAnsi="Arial" w:hint="default"/>
      </w:rPr>
    </w:lvl>
  </w:abstractNum>
  <w:abstractNum w:abstractNumId="1">
    <w:nsid w:val="033A64EF"/>
    <w:multiLevelType w:val="hybridMultilevel"/>
    <w:tmpl w:val="CC30D2AA"/>
    <w:lvl w:ilvl="0" w:tplc="65FE2B24">
      <w:start w:val="1"/>
      <w:numFmt w:val="bullet"/>
      <w:lvlText w:val="•"/>
      <w:lvlJc w:val="left"/>
      <w:pPr>
        <w:tabs>
          <w:tab w:val="num" w:pos="720"/>
        </w:tabs>
        <w:ind w:left="720" w:hanging="360"/>
      </w:pPr>
      <w:rPr>
        <w:rFonts w:ascii="Arial" w:hAnsi="Arial" w:hint="default"/>
      </w:rPr>
    </w:lvl>
    <w:lvl w:ilvl="1" w:tplc="5C7C5F20" w:tentative="1">
      <w:start w:val="1"/>
      <w:numFmt w:val="bullet"/>
      <w:lvlText w:val="•"/>
      <w:lvlJc w:val="left"/>
      <w:pPr>
        <w:tabs>
          <w:tab w:val="num" w:pos="1440"/>
        </w:tabs>
        <w:ind w:left="1440" w:hanging="360"/>
      </w:pPr>
      <w:rPr>
        <w:rFonts w:ascii="Arial" w:hAnsi="Arial" w:hint="default"/>
      </w:rPr>
    </w:lvl>
    <w:lvl w:ilvl="2" w:tplc="DA7EC7B8">
      <w:start w:val="1114"/>
      <w:numFmt w:val="bullet"/>
      <w:lvlText w:val="o"/>
      <w:lvlJc w:val="left"/>
      <w:pPr>
        <w:tabs>
          <w:tab w:val="num" w:pos="2160"/>
        </w:tabs>
        <w:ind w:left="2160" w:hanging="360"/>
      </w:pPr>
      <w:rPr>
        <w:rFonts w:ascii="Courier New" w:hAnsi="Courier New" w:hint="default"/>
      </w:rPr>
    </w:lvl>
    <w:lvl w:ilvl="3" w:tplc="51BAAA42" w:tentative="1">
      <w:start w:val="1"/>
      <w:numFmt w:val="bullet"/>
      <w:lvlText w:val="•"/>
      <w:lvlJc w:val="left"/>
      <w:pPr>
        <w:tabs>
          <w:tab w:val="num" w:pos="2880"/>
        </w:tabs>
        <w:ind w:left="2880" w:hanging="360"/>
      </w:pPr>
      <w:rPr>
        <w:rFonts w:ascii="Arial" w:hAnsi="Arial" w:hint="default"/>
      </w:rPr>
    </w:lvl>
    <w:lvl w:ilvl="4" w:tplc="2CBC75CE" w:tentative="1">
      <w:start w:val="1"/>
      <w:numFmt w:val="bullet"/>
      <w:lvlText w:val="•"/>
      <w:lvlJc w:val="left"/>
      <w:pPr>
        <w:tabs>
          <w:tab w:val="num" w:pos="3600"/>
        </w:tabs>
        <w:ind w:left="3600" w:hanging="360"/>
      </w:pPr>
      <w:rPr>
        <w:rFonts w:ascii="Arial" w:hAnsi="Arial" w:hint="default"/>
      </w:rPr>
    </w:lvl>
    <w:lvl w:ilvl="5" w:tplc="EEF841D4" w:tentative="1">
      <w:start w:val="1"/>
      <w:numFmt w:val="bullet"/>
      <w:lvlText w:val="•"/>
      <w:lvlJc w:val="left"/>
      <w:pPr>
        <w:tabs>
          <w:tab w:val="num" w:pos="4320"/>
        </w:tabs>
        <w:ind w:left="4320" w:hanging="360"/>
      </w:pPr>
      <w:rPr>
        <w:rFonts w:ascii="Arial" w:hAnsi="Arial" w:hint="default"/>
      </w:rPr>
    </w:lvl>
    <w:lvl w:ilvl="6" w:tplc="D19249D6" w:tentative="1">
      <w:start w:val="1"/>
      <w:numFmt w:val="bullet"/>
      <w:lvlText w:val="•"/>
      <w:lvlJc w:val="left"/>
      <w:pPr>
        <w:tabs>
          <w:tab w:val="num" w:pos="5040"/>
        </w:tabs>
        <w:ind w:left="5040" w:hanging="360"/>
      </w:pPr>
      <w:rPr>
        <w:rFonts w:ascii="Arial" w:hAnsi="Arial" w:hint="default"/>
      </w:rPr>
    </w:lvl>
    <w:lvl w:ilvl="7" w:tplc="F8FC6926" w:tentative="1">
      <w:start w:val="1"/>
      <w:numFmt w:val="bullet"/>
      <w:lvlText w:val="•"/>
      <w:lvlJc w:val="left"/>
      <w:pPr>
        <w:tabs>
          <w:tab w:val="num" w:pos="5760"/>
        </w:tabs>
        <w:ind w:left="5760" w:hanging="360"/>
      </w:pPr>
      <w:rPr>
        <w:rFonts w:ascii="Arial" w:hAnsi="Arial" w:hint="default"/>
      </w:rPr>
    </w:lvl>
    <w:lvl w:ilvl="8" w:tplc="5B3A228C" w:tentative="1">
      <w:start w:val="1"/>
      <w:numFmt w:val="bullet"/>
      <w:lvlText w:val="•"/>
      <w:lvlJc w:val="left"/>
      <w:pPr>
        <w:tabs>
          <w:tab w:val="num" w:pos="6480"/>
        </w:tabs>
        <w:ind w:left="6480" w:hanging="360"/>
      </w:pPr>
      <w:rPr>
        <w:rFonts w:ascii="Arial" w:hAnsi="Arial" w:hint="default"/>
      </w:rPr>
    </w:lvl>
  </w:abstractNum>
  <w:abstractNum w:abstractNumId="2">
    <w:nsid w:val="0B7B272C"/>
    <w:multiLevelType w:val="hybridMultilevel"/>
    <w:tmpl w:val="47420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E52351"/>
    <w:multiLevelType w:val="hybridMultilevel"/>
    <w:tmpl w:val="2AF09250"/>
    <w:lvl w:ilvl="0" w:tplc="70D06CE0">
      <w:start w:val="1"/>
      <w:numFmt w:val="bullet"/>
      <w:lvlText w:val="•"/>
      <w:lvlJc w:val="left"/>
      <w:pPr>
        <w:tabs>
          <w:tab w:val="num" w:pos="720"/>
        </w:tabs>
        <w:ind w:left="720" w:hanging="360"/>
      </w:pPr>
      <w:rPr>
        <w:rFonts w:ascii="Arial" w:hAnsi="Arial" w:hint="default"/>
      </w:rPr>
    </w:lvl>
    <w:lvl w:ilvl="1" w:tplc="2A4AD1AC" w:tentative="1">
      <w:start w:val="1"/>
      <w:numFmt w:val="bullet"/>
      <w:lvlText w:val="•"/>
      <w:lvlJc w:val="left"/>
      <w:pPr>
        <w:tabs>
          <w:tab w:val="num" w:pos="1440"/>
        </w:tabs>
        <w:ind w:left="1440" w:hanging="360"/>
      </w:pPr>
      <w:rPr>
        <w:rFonts w:ascii="Arial" w:hAnsi="Arial" w:hint="default"/>
      </w:rPr>
    </w:lvl>
    <w:lvl w:ilvl="2" w:tplc="65B40E80" w:tentative="1">
      <w:start w:val="1"/>
      <w:numFmt w:val="bullet"/>
      <w:lvlText w:val="•"/>
      <w:lvlJc w:val="left"/>
      <w:pPr>
        <w:tabs>
          <w:tab w:val="num" w:pos="2160"/>
        </w:tabs>
        <w:ind w:left="2160" w:hanging="360"/>
      </w:pPr>
      <w:rPr>
        <w:rFonts w:ascii="Arial" w:hAnsi="Arial" w:hint="default"/>
      </w:rPr>
    </w:lvl>
    <w:lvl w:ilvl="3" w:tplc="AF8C4356" w:tentative="1">
      <w:start w:val="1"/>
      <w:numFmt w:val="bullet"/>
      <w:lvlText w:val="•"/>
      <w:lvlJc w:val="left"/>
      <w:pPr>
        <w:tabs>
          <w:tab w:val="num" w:pos="2880"/>
        </w:tabs>
        <w:ind w:left="2880" w:hanging="360"/>
      </w:pPr>
      <w:rPr>
        <w:rFonts w:ascii="Arial" w:hAnsi="Arial" w:hint="default"/>
      </w:rPr>
    </w:lvl>
    <w:lvl w:ilvl="4" w:tplc="911E91C8" w:tentative="1">
      <w:start w:val="1"/>
      <w:numFmt w:val="bullet"/>
      <w:lvlText w:val="•"/>
      <w:lvlJc w:val="left"/>
      <w:pPr>
        <w:tabs>
          <w:tab w:val="num" w:pos="3600"/>
        </w:tabs>
        <w:ind w:left="3600" w:hanging="360"/>
      </w:pPr>
      <w:rPr>
        <w:rFonts w:ascii="Arial" w:hAnsi="Arial" w:hint="default"/>
      </w:rPr>
    </w:lvl>
    <w:lvl w:ilvl="5" w:tplc="4DE00BEA" w:tentative="1">
      <w:start w:val="1"/>
      <w:numFmt w:val="bullet"/>
      <w:lvlText w:val="•"/>
      <w:lvlJc w:val="left"/>
      <w:pPr>
        <w:tabs>
          <w:tab w:val="num" w:pos="4320"/>
        </w:tabs>
        <w:ind w:left="4320" w:hanging="360"/>
      </w:pPr>
      <w:rPr>
        <w:rFonts w:ascii="Arial" w:hAnsi="Arial" w:hint="default"/>
      </w:rPr>
    </w:lvl>
    <w:lvl w:ilvl="6" w:tplc="70784746" w:tentative="1">
      <w:start w:val="1"/>
      <w:numFmt w:val="bullet"/>
      <w:lvlText w:val="•"/>
      <w:lvlJc w:val="left"/>
      <w:pPr>
        <w:tabs>
          <w:tab w:val="num" w:pos="5040"/>
        </w:tabs>
        <w:ind w:left="5040" w:hanging="360"/>
      </w:pPr>
      <w:rPr>
        <w:rFonts w:ascii="Arial" w:hAnsi="Arial" w:hint="default"/>
      </w:rPr>
    </w:lvl>
    <w:lvl w:ilvl="7" w:tplc="C9CC25B4" w:tentative="1">
      <w:start w:val="1"/>
      <w:numFmt w:val="bullet"/>
      <w:lvlText w:val="•"/>
      <w:lvlJc w:val="left"/>
      <w:pPr>
        <w:tabs>
          <w:tab w:val="num" w:pos="5760"/>
        </w:tabs>
        <w:ind w:left="5760" w:hanging="360"/>
      </w:pPr>
      <w:rPr>
        <w:rFonts w:ascii="Arial" w:hAnsi="Arial" w:hint="default"/>
      </w:rPr>
    </w:lvl>
    <w:lvl w:ilvl="8" w:tplc="F76CA178" w:tentative="1">
      <w:start w:val="1"/>
      <w:numFmt w:val="bullet"/>
      <w:lvlText w:val="•"/>
      <w:lvlJc w:val="left"/>
      <w:pPr>
        <w:tabs>
          <w:tab w:val="num" w:pos="6480"/>
        </w:tabs>
        <w:ind w:left="6480" w:hanging="360"/>
      </w:pPr>
      <w:rPr>
        <w:rFonts w:ascii="Arial" w:hAnsi="Arial" w:hint="default"/>
      </w:rPr>
    </w:lvl>
  </w:abstractNum>
  <w:abstractNum w:abstractNumId="4">
    <w:nsid w:val="140664F3"/>
    <w:multiLevelType w:val="hybridMultilevel"/>
    <w:tmpl w:val="39FA741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1B6A6DE8"/>
    <w:multiLevelType w:val="hybridMultilevel"/>
    <w:tmpl w:val="9A08B0CC"/>
    <w:lvl w:ilvl="0" w:tplc="7660A76E">
      <w:numFmt w:val="bullet"/>
      <w:lvlText w:val="-"/>
      <w:lvlJc w:val="left"/>
      <w:pPr>
        <w:ind w:left="1080" w:hanging="360"/>
      </w:pPr>
      <w:rPr>
        <w:rFonts w:ascii="CG Times" w:eastAsia="Calibri" w:hAnsi="CG Time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78553A7"/>
    <w:multiLevelType w:val="hybridMultilevel"/>
    <w:tmpl w:val="A9B29F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6D77D4"/>
    <w:multiLevelType w:val="hybridMultilevel"/>
    <w:tmpl w:val="15F8498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3FDE5F01"/>
    <w:multiLevelType w:val="hybridMultilevel"/>
    <w:tmpl w:val="FBF8E278"/>
    <w:lvl w:ilvl="0" w:tplc="D3841BD6">
      <w:start w:val="1"/>
      <w:numFmt w:val="bullet"/>
      <w:lvlText w:val="•"/>
      <w:lvlJc w:val="left"/>
      <w:pPr>
        <w:tabs>
          <w:tab w:val="num" w:pos="720"/>
        </w:tabs>
        <w:ind w:left="720" w:hanging="360"/>
      </w:pPr>
      <w:rPr>
        <w:rFonts w:ascii="Arial" w:hAnsi="Arial" w:hint="default"/>
      </w:rPr>
    </w:lvl>
    <w:lvl w:ilvl="1" w:tplc="648491F0" w:tentative="1">
      <w:start w:val="1"/>
      <w:numFmt w:val="bullet"/>
      <w:lvlText w:val="•"/>
      <w:lvlJc w:val="left"/>
      <w:pPr>
        <w:tabs>
          <w:tab w:val="num" w:pos="1440"/>
        </w:tabs>
        <w:ind w:left="1440" w:hanging="360"/>
      </w:pPr>
      <w:rPr>
        <w:rFonts w:ascii="Arial" w:hAnsi="Arial" w:hint="default"/>
      </w:rPr>
    </w:lvl>
    <w:lvl w:ilvl="2" w:tplc="23942E14" w:tentative="1">
      <w:start w:val="1"/>
      <w:numFmt w:val="bullet"/>
      <w:lvlText w:val="•"/>
      <w:lvlJc w:val="left"/>
      <w:pPr>
        <w:tabs>
          <w:tab w:val="num" w:pos="2160"/>
        </w:tabs>
        <w:ind w:left="2160" w:hanging="360"/>
      </w:pPr>
      <w:rPr>
        <w:rFonts w:ascii="Arial" w:hAnsi="Arial" w:hint="default"/>
      </w:rPr>
    </w:lvl>
    <w:lvl w:ilvl="3" w:tplc="379605CA" w:tentative="1">
      <w:start w:val="1"/>
      <w:numFmt w:val="bullet"/>
      <w:lvlText w:val="•"/>
      <w:lvlJc w:val="left"/>
      <w:pPr>
        <w:tabs>
          <w:tab w:val="num" w:pos="2880"/>
        </w:tabs>
        <w:ind w:left="2880" w:hanging="360"/>
      </w:pPr>
      <w:rPr>
        <w:rFonts w:ascii="Arial" w:hAnsi="Arial" w:hint="default"/>
      </w:rPr>
    </w:lvl>
    <w:lvl w:ilvl="4" w:tplc="916AFB04" w:tentative="1">
      <w:start w:val="1"/>
      <w:numFmt w:val="bullet"/>
      <w:lvlText w:val="•"/>
      <w:lvlJc w:val="left"/>
      <w:pPr>
        <w:tabs>
          <w:tab w:val="num" w:pos="3600"/>
        </w:tabs>
        <w:ind w:left="3600" w:hanging="360"/>
      </w:pPr>
      <w:rPr>
        <w:rFonts w:ascii="Arial" w:hAnsi="Arial" w:hint="default"/>
      </w:rPr>
    </w:lvl>
    <w:lvl w:ilvl="5" w:tplc="8AECE702" w:tentative="1">
      <w:start w:val="1"/>
      <w:numFmt w:val="bullet"/>
      <w:lvlText w:val="•"/>
      <w:lvlJc w:val="left"/>
      <w:pPr>
        <w:tabs>
          <w:tab w:val="num" w:pos="4320"/>
        </w:tabs>
        <w:ind w:left="4320" w:hanging="360"/>
      </w:pPr>
      <w:rPr>
        <w:rFonts w:ascii="Arial" w:hAnsi="Arial" w:hint="default"/>
      </w:rPr>
    </w:lvl>
    <w:lvl w:ilvl="6" w:tplc="F7D69048" w:tentative="1">
      <w:start w:val="1"/>
      <w:numFmt w:val="bullet"/>
      <w:lvlText w:val="•"/>
      <w:lvlJc w:val="left"/>
      <w:pPr>
        <w:tabs>
          <w:tab w:val="num" w:pos="5040"/>
        </w:tabs>
        <w:ind w:left="5040" w:hanging="360"/>
      </w:pPr>
      <w:rPr>
        <w:rFonts w:ascii="Arial" w:hAnsi="Arial" w:hint="default"/>
      </w:rPr>
    </w:lvl>
    <w:lvl w:ilvl="7" w:tplc="A48E4EE0" w:tentative="1">
      <w:start w:val="1"/>
      <w:numFmt w:val="bullet"/>
      <w:lvlText w:val="•"/>
      <w:lvlJc w:val="left"/>
      <w:pPr>
        <w:tabs>
          <w:tab w:val="num" w:pos="5760"/>
        </w:tabs>
        <w:ind w:left="5760" w:hanging="360"/>
      </w:pPr>
      <w:rPr>
        <w:rFonts w:ascii="Arial" w:hAnsi="Arial" w:hint="default"/>
      </w:rPr>
    </w:lvl>
    <w:lvl w:ilvl="8" w:tplc="56C6692E" w:tentative="1">
      <w:start w:val="1"/>
      <w:numFmt w:val="bullet"/>
      <w:lvlText w:val="•"/>
      <w:lvlJc w:val="left"/>
      <w:pPr>
        <w:tabs>
          <w:tab w:val="num" w:pos="6480"/>
        </w:tabs>
        <w:ind w:left="6480" w:hanging="360"/>
      </w:pPr>
      <w:rPr>
        <w:rFonts w:ascii="Arial" w:hAnsi="Arial" w:hint="default"/>
      </w:rPr>
    </w:lvl>
  </w:abstractNum>
  <w:abstractNum w:abstractNumId="9">
    <w:nsid w:val="4AFB3B40"/>
    <w:multiLevelType w:val="hybridMultilevel"/>
    <w:tmpl w:val="96F6079E"/>
    <w:lvl w:ilvl="0" w:tplc="710082BA">
      <w:start w:val="1"/>
      <w:numFmt w:val="bullet"/>
      <w:lvlText w:val="•"/>
      <w:lvlJc w:val="left"/>
      <w:pPr>
        <w:tabs>
          <w:tab w:val="num" w:pos="720"/>
        </w:tabs>
        <w:ind w:left="720" w:hanging="360"/>
      </w:pPr>
      <w:rPr>
        <w:rFonts w:ascii="Arial" w:hAnsi="Arial" w:hint="default"/>
      </w:rPr>
    </w:lvl>
    <w:lvl w:ilvl="1" w:tplc="9B78B2B4">
      <w:start w:val="1571"/>
      <w:numFmt w:val="bullet"/>
      <w:lvlText w:val="–"/>
      <w:lvlJc w:val="left"/>
      <w:pPr>
        <w:tabs>
          <w:tab w:val="num" w:pos="1440"/>
        </w:tabs>
        <w:ind w:left="1440" w:hanging="360"/>
      </w:pPr>
      <w:rPr>
        <w:rFonts w:ascii="Arial" w:hAnsi="Arial" w:hint="default"/>
      </w:rPr>
    </w:lvl>
    <w:lvl w:ilvl="2" w:tplc="1384F546" w:tentative="1">
      <w:start w:val="1"/>
      <w:numFmt w:val="bullet"/>
      <w:lvlText w:val="•"/>
      <w:lvlJc w:val="left"/>
      <w:pPr>
        <w:tabs>
          <w:tab w:val="num" w:pos="2160"/>
        </w:tabs>
        <w:ind w:left="2160" w:hanging="360"/>
      </w:pPr>
      <w:rPr>
        <w:rFonts w:ascii="Arial" w:hAnsi="Arial" w:hint="default"/>
      </w:rPr>
    </w:lvl>
    <w:lvl w:ilvl="3" w:tplc="46BAC950" w:tentative="1">
      <w:start w:val="1"/>
      <w:numFmt w:val="bullet"/>
      <w:lvlText w:val="•"/>
      <w:lvlJc w:val="left"/>
      <w:pPr>
        <w:tabs>
          <w:tab w:val="num" w:pos="2880"/>
        </w:tabs>
        <w:ind w:left="2880" w:hanging="360"/>
      </w:pPr>
      <w:rPr>
        <w:rFonts w:ascii="Arial" w:hAnsi="Arial" w:hint="default"/>
      </w:rPr>
    </w:lvl>
    <w:lvl w:ilvl="4" w:tplc="7AF805A4" w:tentative="1">
      <w:start w:val="1"/>
      <w:numFmt w:val="bullet"/>
      <w:lvlText w:val="•"/>
      <w:lvlJc w:val="left"/>
      <w:pPr>
        <w:tabs>
          <w:tab w:val="num" w:pos="3600"/>
        </w:tabs>
        <w:ind w:left="3600" w:hanging="360"/>
      </w:pPr>
      <w:rPr>
        <w:rFonts w:ascii="Arial" w:hAnsi="Arial" w:hint="default"/>
      </w:rPr>
    </w:lvl>
    <w:lvl w:ilvl="5" w:tplc="DDC8C444" w:tentative="1">
      <w:start w:val="1"/>
      <w:numFmt w:val="bullet"/>
      <w:lvlText w:val="•"/>
      <w:lvlJc w:val="left"/>
      <w:pPr>
        <w:tabs>
          <w:tab w:val="num" w:pos="4320"/>
        </w:tabs>
        <w:ind w:left="4320" w:hanging="360"/>
      </w:pPr>
      <w:rPr>
        <w:rFonts w:ascii="Arial" w:hAnsi="Arial" w:hint="default"/>
      </w:rPr>
    </w:lvl>
    <w:lvl w:ilvl="6" w:tplc="F6522872" w:tentative="1">
      <w:start w:val="1"/>
      <w:numFmt w:val="bullet"/>
      <w:lvlText w:val="•"/>
      <w:lvlJc w:val="left"/>
      <w:pPr>
        <w:tabs>
          <w:tab w:val="num" w:pos="5040"/>
        </w:tabs>
        <w:ind w:left="5040" w:hanging="360"/>
      </w:pPr>
      <w:rPr>
        <w:rFonts w:ascii="Arial" w:hAnsi="Arial" w:hint="default"/>
      </w:rPr>
    </w:lvl>
    <w:lvl w:ilvl="7" w:tplc="16C28418" w:tentative="1">
      <w:start w:val="1"/>
      <w:numFmt w:val="bullet"/>
      <w:lvlText w:val="•"/>
      <w:lvlJc w:val="left"/>
      <w:pPr>
        <w:tabs>
          <w:tab w:val="num" w:pos="5760"/>
        </w:tabs>
        <w:ind w:left="5760" w:hanging="360"/>
      </w:pPr>
      <w:rPr>
        <w:rFonts w:ascii="Arial" w:hAnsi="Arial" w:hint="default"/>
      </w:rPr>
    </w:lvl>
    <w:lvl w:ilvl="8" w:tplc="EFDED306" w:tentative="1">
      <w:start w:val="1"/>
      <w:numFmt w:val="bullet"/>
      <w:lvlText w:val="•"/>
      <w:lvlJc w:val="left"/>
      <w:pPr>
        <w:tabs>
          <w:tab w:val="num" w:pos="6480"/>
        </w:tabs>
        <w:ind w:left="6480" w:hanging="360"/>
      </w:pPr>
      <w:rPr>
        <w:rFonts w:ascii="Arial" w:hAnsi="Arial" w:hint="default"/>
      </w:rPr>
    </w:lvl>
  </w:abstractNum>
  <w:abstractNum w:abstractNumId="10">
    <w:nsid w:val="6334079C"/>
    <w:multiLevelType w:val="hybridMultilevel"/>
    <w:tmpl w:val="3C90DF38"/>
    <w:lvl w:ilvl="0" w:tplc="9344289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6E1450CE"/>
    <w:multiLevelType w:val="hybridMultilevel"/>
    <w:tmpl w:val="56A8DCC0"/>
    <w:lvl w:ilvl="0" w:tplc="368CED6E">
      <w:start w:val="1"/>
      <w:numFmt w:val="bullet"/>
      <w:lvlText w:val="•"/>
      <w:lvlJc w:val="left"/>
      <w:pPr>
        <w:tabs>
          <w:tab w:val="num" w:pos="720"/>
        </w:tabs>
        <w:ind w:left="720" w:hanging="360"/>
      </w:pPr>
      <w:rPr>
        <w:rFonts w:ascii="Arial" w:hAnsi="Arial" w:hint="default"/>
      </w:rPr>
    </w:lvl>
    <w:lvl w:ilvl="1" w:tplc="4F8ABDAA" w:tentative="1">
      <w:start w:val="1"/>
      <w:numFmt w:val="bullet"/>
      <w:lvlText w:val="•"/>
      <w:lvlJc w:val="left"/>
      <w:pPr>
        <w:tabs>
          <w:tab w:val="num" w:pos="1440"/>
        </w:tabs>
        <w:ind w:left="1440" w:hanging="360"/>
      </w:pPr>
      <w:rPr>
        <w:rFonts w:ascii="Arial" w:hAnsi="Arial" w:hint="default"/>
      </w:rPr>
    </w:lvl>
    <w:lvl w:ilvl="2" w:tplc="9F7E1C4E" w:tentative="1">
      <w:start w:val="1"/>
      <w:numFmt w:val="bullet"/>
      <w:lvlText w:val="•"/>
      <w:lvlJc w:val="left"/>
      <w:pPr>
        <w:tabs>
          <w:tab w:val="num" w:pos="2160"/>
        </w:tabs>
        <w:ind w:left="2160" w:hanging="360"/>
      </w:pPr>
      <w:rPr>
        <w:rFonts w:ascii="Arial" w:hAnsi="Arial" w:hint="default"/>
      </w:rPr>
    </w:lvl>
    <w:lvl w:ilvl="3" w:tplc="62643442" w:tentative="1">
      <w:start w:val="1"/>
      <w:numFmt w:val="bullet"/>
      <w:lvlText w:val="•"/>
      <w:lvlJc w:val="left"/>
      <w:pPr>
        <w:tabs>
          <w:tab w:val="num" w:pos="2880"/>
        </w:tabs>
        <w:ind w:left="2880" w:hanging="360"/>
      </w:pPr>
      <w:rPr>
        <w:rFonts w:ascii="Arial" w:hAnsi="Arial" w:hint="default"/>
      </w:rPr>
    </w:lvl>
    <w:lvl w:ilvl="4" w:tplc="3CAE736C" w:tentative="1">
      <w:start w:val="1"/>
      <w:numFmt w:val="bullet"/>
      <w:lvlText w:val="•"/>
      <w:lvlJc w:val="left"/>
      <w:pPr>
        <w:tabs>
          <w:tab w:val="num" w:pos="3600"/>
        </w:tabs>
        <w:ind w:left="3600" w:hanging="360"/>
      </w:pPr>
      <w:rPr>
        <w:rFonts w:ascii="Arial" w:hAnsi="Arial" w:hint="default"/>
      </w:rPr>
    </w:lvl>
    <w:lvl w:ilvl="5" w:tplc="89F2ABC0" w:tentative="1">
      <w:start w:val="1"/>
      <w:numFmt w:val="bullet"/>
      <w:lvlText w:val="•"/>
      <w:lvlJc w:val="left"/>
      <w:pPr>
        <w:tabs>
          <w:tab w:val="num" w:pos="4320"/>
        </w:tabs>
        <w:ind w:left="4320" w:hanging="360"/>
      </w:pPr>
      <w:rPr>
        <w:rFonts w:ascii="Arial" w:hAnsi="Arial" w:hint="default"/>
      </w:rPr>
    </w:lvl>
    <w:lvl w:ilvl="6" w:tplc="744ACCE4" w:tentative="1">
      <w:start w:val="1"/>
      <w:numFmt w:val="bullet"/>
      <w:lvlText w:val="•"/>
      <w:lvlJc w:val="left"/>
      <w:pPr>
        <w:tabs>
          <w:tab w:val="num" w:pos="5040"/>
        </w:tabs>
        <w:ind w:left="5040" w:hanging="360"/>
      </w:pPr>
      <w:rPr>
        <w:rFonts w:ascii="Arial" w:hAnsi="Arial" w:hint="default"/>
      </w:rPr>
    </w:lvl>
    <w:lvl w:ilvl="7" w:tplc="C7CC6546" w:tentative="1">
      <w:start w:val="1"/>
      <w:numFmt w:val="bullet"/>
      <w:lvlText w:val="•"/>
      <w:lvlJc w:val="left"/>
      <w:pPr>
        <w:tabs>
          <w:tab w:val="num" w:pos="5760"/>
        </w:tabs>
        <w:ind w:left="5760" w:hanging="360"/>
      </w:pPr>
      <w:rPr>
        <w:rFonts w:ascii="Arial" w:hAnsi="Arial" w:hint="default"/>
      </w:rPr>
    </w:lvl>
    <w:lvl w:ilvl="8" w:tplc="ABC43350" w:tentative="1">
      <w:start w:val="1"/>
      <w:numFmt w:val="bullet"/>
      <w:lvlText w:val="•"/>
      <w:lvlJc w:val="left"/>
      <w:pPr>
        <w:tabs>
          <w:tab w:val="num" w:pos="6480"/>
        </w:tabs>
        <w:ind w:left="6480" w:hanging="360"/>
      </w:pPr>
      <w:rPr>
        <w:rFonts w:ascii="Arial" w:hAnsi="Arial" w:hint="default"/>
      </w:rPr>
    </w:lvl>
  </w:abstractNum>
  <w:abstractNum w:abstractNumId="12">
    <w:nsid w:val="6F8213FE"/>
    <w:multiLevelType w:val="hybridMultilevel"/>
    <w:tmpl w:val="458A2DFC"/>
    <w:lvl w:ilvl="0" w:tplc="710449DA">
      <w:start w:val="1"/>
      <w:numFmt w:val="bullet"/>
      <w:lvlText w:val="•"/>
      <w:lvlJc w:val="left"/>
      <w:pPr>
        <w:tabs>
          <w:tab w:val="num" w:pos="720"/>
        </w:tabs>
        <w:ind w:left="720" w:hanging="360"/>
      </w:pPr>
      <w:rPr>
        <w:rFonts w:ascii="Arial" w:hAnsi="Arial" w:hint="default"/>
      </w:rPr>
    </w:lvl>
    <w:lvl w:ilvl="1" w:tplc="899CA9F0">
      <w:start w:val="1114"/>
      <w:numFmt w:val="bullet"/>
      <w:lvlText w:val="•"/>
      <w:lvlJc w:val="left"/>
      <w:pPr>
        <w:tabs>
          <w:tab w:val="num" w:pos="1440"/>
        </w:tabs>
        <w:ind w:left="1440" w:hanging="360"/>
      </w:pPr>
      <w:rPr>
        <w:rFonts w:ascii="Arial" w:hAnsi="Arial" w:hint="default"/>
      </w:rPr>
    </w:lvl>
    <w:lvl w:ilvl="2" w:tplc="FA48372A" w:tentative="1">
      <w:start w:val="1"/>
      <w:numFmt w:val="bullet"/>
      <w:lvlText w:val="•"/>
      <w:lvlJc w:val="left"/>
      <w:pPr>
        <w:tabs>
          <w:tab w:val="num" w:pos="2160"/>
        </w:tabs>
        <w:ind w:left="2160" w:hanging="360"/>
      </w:pPr>
      <w:rPr>
        <w:rFonts w:ascii="Arial" w:hAnsi="Arial" w:hint="default"/>
      </w:rPr>
    </w:lvl>
    <w:lvl w:ilvl="3" w:tplc="98AEEC58" w:tentative="1">
      <w:start w:val="1"/>
      <w:numFmt w:val="bullet"/>
      <w:lvlText w:val="•"/>
      <w:lvlJc w:val="left"/>
      <w:pPr>
        <w:tabs>
          <w:tab w:val="num" w:pos="2880"/>
        </w:tabs>
        <w:ind w:left="2880" w:hanging="360"/>
      </w:pPr>
      <w:rPr>
        <w:rFonts w:ascii="Arial" w:hAnsi="Arial" w:hint="default"/>
      </w:rPr>
    </w:lvl>
    <w:lvl w:ilvl="4" w:tplc="6CA44C9A" w:tentative="1">
      <w:start w:val="1"/>
      <w:numFmt w:val="bullet"/>
      <w:lvlText w:val="•"/>
      <w:lvlJc w:val="left"/>
      <w:pPr>
        <w:tabs>
          <w:tab w:val="num" w:pos="3600"/>
        </w:tabs>
        <w:ind w:left="3600" w:hanging="360"/>
      </w:pPr>
      <w:rPr>
        <w:rFonts w:ascii="Arial" w:hAnsi="Arial" w:hint="default"/>
      </w:rPr>
    </w:lvl>
    <w:lvl w:ilvl="5" w:tplc="17545AEA" w:tentative="1">
      <w:start w:val="1"/>
      <w:numFmt w:val="bullet"/>
      <w:lvlText w:val="•"/>
      <w:lvlJc w:val="left"/>
      <w:pPr>
        <w:tabs>
          <w:tab w:val="num" w:pos="4320"/>
        </w:tabs>
        <w:ind w:left="4320" w:hanging="360"/>
      </w:pPr>
      <w:rPr>
        <w:rFonts w:ascii="Arial" w:hAnsi="Arial" w:hint="default"/>
      </w:rPr>
    </w:lvl>
    <w:lvl w:ilvl="6" w:tplc="596ABF02" w:tentative="1">
      <w:start w:val="1"/>
      <w:numFmt w:val="bullet"/>
      <w:lvlText w:val="•"/>
      <w:lvlJc w:val="left"/>
      <w:pPr>
        <w:tabs>
          <w:tab w:val="num" w:pos="5040"/>
        </w:tabs>
        <w:ind w:left="5040" w:hanging="360"/>
      </w:pPr>
      <w:rPr>
        <w:rFonts w:ascii="Arial" w:hAnsi="Arial" w:hint="default"/>
      </w:rPr>
    </w:lvl>
    <w:lvl w:ilvl="7" w:tplc="5DB0AD62" w:tentative="1">
      <w:start w:val="1"/>
      <w:numFmt w:val="bullet"/>
      <w:lvlText w:val="•"/>
      <w:lvlJc w:val="left"/>
      <w:pPr>
        <w:tabs>
          <w:tab w:val="num" w:pos="5760"/>
        </w:tabs>
        <w:ind w:left="5760" w:hanging="360"/>
      </w:pPr>
      <w:rPr>
        <w:rFonts w:ascii="Arial" w:hAnsi="Arial" w:hint="default"/>
      </w:rPr>
    </w:lvl>
    <w:lvl w:ilvl="8" w:tplc="322E7D20" w:tentative="1">
      <w:start w:val="1"/>
      <w:numFmt w:val="bullet"/>
      <w:lvlText w:val="•"/>
      <w:lvlJc w:val="left"/>
      <w:pPr>
        <w:tabs>
          <w:tab w:val="num" w:pos="6480"/>
        </w:tabs>
        <w:ind w:left="6480" w:hanging="360"/>
      </w:pPr>
      <w:rPr>
        <w:rFonts w:ascii="Arial" w:hAnsi="Arial" w:hint="default"/>
      </w:rPr>
    </w:lvl>
  </w:abstractNum>
  <w:abstractNum w:abstractNumId="13">
    <w:nsid w:val="73776E2B"/>
    <w:multiLevelType w:val="hybridMultilevel"/>
    <w:tmpl w:val="85C0911A"/>
    <w:lvl w:ilvl="0" w:tplc="F8022116">
      <w:start w:val="1"/>
      <w:numFmt w:val="bullet"/>
      <w:lvlText w:val="•"/>
      <w:lvlJc w:val="left"/>
      <w:pPr>
        <w:tabs>
          <w:tab w:val="num" w:pos="720"/>
        </w:tabs>
        <w:ind w:left="720" w:hanging="360"/>
      </w:pPr>
      <w:rPr>
        <w:rFonts w:ascii="Arial" w:hAnsi="Arial" w:hint="default"/>
      </w:rPr>
    </w:lvl>
    <w:lvl w:ilvl="1" w:tplc="95CE8C10">
      <w:start w:val="1260"/>
      <w:numFmt w:val="bullet"/>
      <w:lvlText w:val="–"/>
      <w:lvlJc w:val="left"/>
      <w:pPr>
        <w:tabs>
          <w:tab w:val="num" w:pos="1440"/>
        </w:tabs>
        <w:ind w:left="1440" w:hanging="360"/>
      </w:pPr>
      <w:rPr>
        <w:rFonts w:ascii="Arial" w:hAnsi="Arial" w:hint="default"/>
      </w:rPr>
    </w:lvl>
    <w:lvl w:ilvl="2" w:tplc="C1543392" w:tentative="1">
      <w:start w:val="1"/>
      <w:numFmt w:val="bullet"/>
      <w:lvlText w:val="•"/>
      <w:lvlJc w:val="left"/>
      <w:pPr>
        <w:tabs>
          <w:tab w:val="num" w:pos="2160"/>
        </w:tabs>
        <w:ind w:left="2160" w:hanging="360"/>
      </w:pPr>
      <w:rPr>
        <w:rFonts w:ascii="Arial" w:hAnsi="Arial" w:hint="default"/>
      </w:rPr>
    </w:lvl>
    <w:lvl w:ilvl="3" w:tplc="B2F27096" w:tentative="1">
      <w:start w:val="1"/>
      <w:numFmt w:val="bullet"/>
      <w:lvlText w:val="•"/>
      <w:lvlJc w:val="left"/>
      <w:pPr>
        <w:tabs>
          <w:tab w:val="num" w:pos="2880"/>
        </w:tabs>
        <w:ind w:left="2880" w:hanging="360"/>
      </w:pPr>
      <w:rPr>
        <w:rFonts w:ascii="Arial" w:hAnsi="Arial" w:hint="default"/>
      </w:rPr>
    </w:lvl>
    <w:lvl w:ilvl="4" w:tplc="9F180CB2" w:tentative="1">
      <w:start w:val="1"/>
      <w:numFmt w:val="bullet"/>
      <w:lvlText w:val="•"/>
      <w:lvlJc w:val="left"/>
      <w:pPr>
        <w:tabs>
          <w:tab w:val="num" w:pos="3600"/>
        </w:tabs>
        <w:ind w:left="3600" w:hanging="360"/>
      </w:pPr>
      <w:rPr>
        <w:rFonts w:ascii="Arial" w:hAnsi="Arial" w:hint="default"/>
      </w:rPr>
    </w:lvl>
    <w:lvl w:ilvl="5" w:tplc="82BE495A" w:tentative="1">
      <w:start w:val="1"/>
      <w:numFmt w:val="bullet"/>
      <w:lvlText w:val="•"/>
      <w:lvlJc w:val="left"/>
      <w:pPr>
        <w:tabs>
          <w:tab w:val="num" w:pos="4320"/>
        </w:tabs>
        <w:ind w:left="4320" w:hanging="360"/>
      </w:pPr>
      <w:rPr>
        <w:rFonts w:ascii="Arial" w:hAnsi="Arial" w:hint="default"/>
      </w:rPr>
    </w:lvl>
    <w:lvl w:ilvl="6" w:tplc="4FCEE3D0" w:tentative="1">
      <w:start w:val="1"/>
      <w:numFmt w:val="bullet"/>
      <w:lvlText w:val="•"/>
      <w:lvlJc w:val="left"/>
      <w:pPr>
        <w:tabs>
          <w:tab w:val="num" w:pos="5040"/>
        </w:tabs>
        <w:ind w:left="5040" w:hanging="360"/>
      </w:pPr>
      <w:rPr>
        <w:rFonts w:ascii="Arial" w:hAnsi="Arial" w:hint="default"/>
      </w:rPr>
    </w:lvl>
    <w:lvl w:ilvl="7" w:tplc="4BE62996" w:tentative="1">
      <w:start w:val="1"/>
      <w:numFmt w:val="bullet"/>
      <w:lvlText w:val="•"/>
      <w:lvlJc w:val="left"/>
      <w:pPr>
        <w:tabs>
          <w:tab w:val="num" w:pos="5760"/>
        </w:tabs>
        <w:ind w:left="5760" w:hanging="360"/>
      </w:pPr>
      <w:rPr>
        <w:rFonts w:ascii="Arial" w:hAnsi="Arial" w:hint="default"/>
      </w:rPr>
    </w:lvl>
    <w:lvl w:ilvl="8" w:tplc="E70679DA" w:tentative="1">
      <w:start w:val="1"/>
      <w:numFmt w:val="bullet"/>
      <w:lvlText w:val="•"/>
      <w:lvlJc w:val="left"/>
      <w:pPr>
        <w:tabs>
          <w:tab w:val="num" w:pos="6480"/>
        </w:tabs>
        <w:ind w:left="6480" w:hanging="360"/>
      </w:pPr>
      <w:rPr>
        <w:rFonts w:ascii="Arial" w:hAnsi="Arial" w:hint="default"/>
      </w:rPr>
    </w:lvl>
  </w:abstractNum>
  <w:abstractNum w:abstractNumId="14">
    <w:nsid w:val="78646117"/>
    <w:multiLevelType w:val="hybridMultilevel"/>
    <w:tmpl w:val="18A0FBEC"/>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nsid w:val="789E243D"/>
    <w:multiLevelType w:val="hybridMultilevel"/>
    <w:tmpl w:val="C0F8716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7B401981"/>
    <w:multiLevelType w:val="hybridMultilevel"/>
    <w:tmpl w:val="78F6E2F8"/>
    <w:lvl w:ilvl="0" w:tplc="E3C231B6">
      <w:start w:val="2"/>
      <w:numFmt w:val="bullet"/>
      <w:lvlText w:val="-"/>
      <w:lvlJc w:val="left"/>
      <w:pPr>
        <w:ind w:left="1080" w:hanging="360"/>
      </w:pPr>
      <w:rPr>
        <w:rFonts w:ascii="CG Times" w:eastAsia="Calibri" w:hAnsi="CG Time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14"/>
  </w:num>
  <w:num w:numId="3">
    <w:abstractNumId w:val="15"/>
  </w:num>
  <w:num w:numId="4">
    <w:abstractNumId w:val="4"/>
  </w:num>
  <w:num w:numId="5">
    <w:abstractNumId w:val="1"/>
  </w:num>
  <w:num w:numId="6">
    <w:abstractNumId w:val="12"/>
  </w:num>
  <w:num w:numId="7">
    <w:abstractNumId w:val="8"/>
  </w:num>
  <w:num w:numId="8">
    <w:abstractNumId w:val="2"/>
  </w:num>
  <w:num w:numId="9">
    <w:abstractNumId w:val="7"/>
  </w:num>
  <w:num w:numId="10">
    <w:abstractNumId w:val="10"/>
  </w:num>
  <w:num w:numId="11">
    <w:abstractNumId w:val="16"/>
  </w:num>
  <w:num w:numId="12">
    <w:abstractNumId w:val="5"/>
  </w:num>
  <w:num w:numId="13">
    <w:abstractNumId w:val="9"/>
  </w:num>
  <w:num w:numId="14">
    <w:abstractNumId w:val="11"/>
  </w:num>
  <w:num w:numId="15">
    <w:abstractNumId w:val="13"/>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0B2F76"/>
    <w:rsid w:val="00000861"/>
    <w:rsid w:val="00000DA1"/>
    <w:rsid w:val="000016EE"/>
    <w:rsid w:val="0000297C"/>
    <w:rsid w:val="00002B13"/>
    <w:rsid w:val="00010159"/>
    <w:rsid w:val="00010EE6"/>
    <w:rsid w:val="000120F7"/>
    <w:rsid w:val="00012801"/>
    <w:rsid w:val="00013AD5"/>
    <w:rsid w:val="000146C6"/>
    <w:rsid w:val="00014E63"/>
    <w:rsid w:val="00020073"/>
    <w:rsid w:val="00021BD7"/>
    <w:rsid w:val="00021F2E"/>
    <w:rsid w:val="0002280A"/>
    <w:rsid w:val="00023AD8"/>
    <w:rsid w:val="00023E3E"/>
    <w:rsid w:val="000250EB"/>
    <w:rsid w:val="00025F89"/>
    <w:rsid w:val="00026C26"/>
    <w:rsid w:val="00027882"/>
    <w:rsid w:val="00027DB8"/>
    <w:rsid w:val="00030546"/>
    <w:rsid w:val="00030AC8"/>
    <w:rsid w:val="00031724"/>
    <w:rsid w:val="000334DF"/>
    <w:rsid w:val="0003356E"/>
    <w:rsid w:val="00036A45"/>
    <w:rsid w:val="0003733C"/>
    <w:rsid w:val="00040884"/>
    <w:rsid w:val="00040AA2"/>
    <w:rsid w:val="00040BC1"/>
    <w:rsid w:val="0004133F"/>
    <w:rsid w:val="000430A4"/>
    <w:rsid w:val="000442C4"/>
    <w:rsid w:val="000458EE"/>
    <w:rsid w:val="0004672C"/>
    <w:rsid w:val="00046AB8"/>
    <w:rsid w:val="0004770A"/>
    <w:rsid w:val="00047BED"/>
    <w:rsid w:val="0005048D"/>
    <w:rsid w:val="000510F5"/>
    <w:rsid w:val="00052E5A"/>
    <w:rsid w:val="00053D63"/>
    <w:rsid w:val="0005535F"/>
    <w:rsid w:val="00056AC8"/>
    <w:rsid w:val="00056BC9"/>
    <w:rsid w:val="000614D4"/>
    <w:rsid w:val="0006258D"/>
    <w:rsid w:val="00062765"/>
    <w:rsid w:val="000637B7"/>
    <w:rsid w:val="00063F0D"/>
    <w:rsid w:val="000643B9"/>
    <w:rsid w:val="00066389"/>
    <w:rsid w:val="000666FE"/>
    <w:rsid w:val="00067EF9"/>
    <w:rsid w:val="000730AD"/>
    <w:rsid w:val="000739DE"/>
    <w:rsid w:val="00073A6E"/>
    <w:rsid w:val="000742E9"/>
    <w:rsid w:val="00075ADC"/>
    <w:rsid w:val="00076C44"/>
    <w:rsid w:val="00077F80"/>
    <w:rsid w:val="00084B2C"/>
    <w:rsid w:val="00085DAD"/>
    <w:rsid w:val="00090574"/>
    <w:rsid w:val="00093840"/>
    <w:rsid w:val="000939BC"/>
    <w:rsid w:val="000939D0"/>
    <w:rsid w:val="000956AA"/>
    <w:rsid w:val="00096C49"/>
    <w:rsid w:val="0009784F"/>
    <w:rsid w:val="00097D17"/>
    <w:rsid w:val="00097F16"/>
    <w:rsid w:val="000A31E8"/>
    <w:rsid w:val="000A5879"/>
    <w:rsid w:val="000A755E"/>
    <w:rsid w:val="000B0038"/>
    <w:rsid w:val="000B0075"/>
    <w:rsid w:val="000B06F8"/>
    <w:rsid w:val="000B1429"/>
    <w:rsid w:val="000B2F76"/>
    <w:rsid w:val="000B3001"/>
    <w:rsid w:val="000B3467"/>
    <w:rsid w:val="000B4817"/>
    <w:rsid w:val="000B4A18"/>
    <w:rsid w:val="000B5388"/>
    <w:rsid w:val="000B6420"/>
    <w:rsid w:val="000B65F5"/>
    <w:rsid w:val="000B6D94"/>
    <w:rsid w:val="000C155F"/>
    <w:rsid w:val="000C221F"/>
    <w:rsid w:val="000C27B7"/>
    <w:rsid w:val="000C340B"/>
    <w:rsid w:val="000C35BD"/>
    <w:rsid w:val="000C3F1B"/>
    <w:rsid w:val="000C4695"/>
    <w:rsid w:val="000C6AB6"/>
    <w:rsid w:val="000D0221"/>
    <w:rsid w:val="000D2A65"/>
    <w:rsid w:val="000D3039"/>
    <w:rsid w:val="000D3252"/>
    <w:rsid w:val="000D3EAC"/>
    <w:rsid w:val="000D401A"/>
    <w:rsid w:val="000D42FD"/>
    <w:rsid w:val="000D4866"/>
    <w:rsid w:val="000D50B1"/>
    <w:rsid w:val="000D585C"/>
    <w:rsid w:val="000D7DB2"/>
    <w:rsid w:val="000E1C2A"/>
    <w:rsid w:val="000E41C8"/>
    <w:rsid w:val="000E44F3"/>
    <w:rsid w:val="000E4632"/>
    <w:rsid w:val="000E4F18"/>
    <w:rsid w:val="000E6060"/>
    <w:rsid w:val="000F1F3D"/>
    <w:rsid w:val="000F2378"/>
    <w:rsid w:val="000F35A3"/>
    <w:rsid w:val="000F3699"/>
    <w:rsid w:val="000F39F5"/>
    <w:rsid w:val="000F5D67"/>
    <w:rsid w:val="000F65A9"/>
    <w:rsid w:val="000F6A8C"/>
    <w:rsid w:val="000F77F6"/>
    <w:rsid w:val="000F799D"/>
    <w:rsid w:val="000F7D71"/>
    <w:rsid w:val="000F7EE5"/>
    <w:rsid w:val="0010183D"/>
    <w:rsid w:val="00102E75"/>
    <w:rsid w:val="001047F3"/>
    <w:rsid w:val="00104C86"/>
    <w:rsid w:val="001057F2"/>
    <w:rsid w:val="00107323"/>
    <w:rsid w:val="00110321"/>
    <w:rsid w:val="001105A7"/>
    <w:rsid w:val="001113A4"/>
    <w:rsid w:val="00111D00"/>
    <w:rsid w:val="00111F99"/>
    <w:rsid w:val="001122F3"/>
    <w:rsid w:val="001126E9"/>
    <w:rsid w:val="00115B05"/>
    <w:rsid w:val="00116762"/>
    <w:rsid w:val="00116BF1"/>
    <w:rsid w:val="001176DF"/>
    <w:rsid w:val="0011772B"/>
    <w:rsid w:val="001202B3"/>
    <w:rsid w:val="0012048B"/>
    <w:rsid w:val="0012218A"/>
    <w:rsid w:val="00123038"/>
    <w:rsid w:val="001232BD"/>
    <w:rsid w:val="001251C3"/>
    <w:rsid w:val="00126B61"/>
    <w:rsid w:val="00127588"/>
    <w:rsid w:val="001305A1"/>
    <w:rsid w:val="00132693"/>
    <w:rsid w:val="00133BD9"/>
    <w:rsid w:val="0013457E"/>
    <w:rsid w:val="0013487A"/>
    <w:rsid w:val="0013546E"/>
    <w:rsid w:val="00140A99"/>
    <w:rsid w:val="00141587"/>
    <w:rsid w:val="001422CF"/>
    <w:rsid w:val="001429CD"/>
    <w:rsid w:val="001441E9"/>
    <w:rsid w:val="00144936"/>
    <w:rsid w:val="00144D6C"/>
    <w:rsid w:val="00147E4C"/>
    <w:rsid w:val="00153C37"/>
    <w:rsid w:val="001540C5"/>
    <w:rsid w:val="00154C4E"/>
    <w:rsid w:val="001567AC"/>
    <w:rsid w:val="00156805"/>
    <w:rsid w:val="001568C9"/>
    <w:rsid w:val="0015695C"/>
    <w:rsid w:val="00156970"/>
    <w:rsid w:val="00161605"/>
    <w:rsid w:val="001659F1"/>
    <w:rsid w:val="00166239"/>
    <w:rsid w:val="00167784"/>
    <w:rsid w:val="00167E28"/>
    <w:rsid w:val="001701F8"/>
    <w:rsid w:val="0017090B"/>
    <w:rsid w:val="00171328"/>
    <w:rsid w:val="00172BE0"/>
    <w:rsid w:val="00174070"/>
    <w:rsid w:val="00174E03"/>
    <w:rsid w:val="0017656A"/>
    <w:rsid w:val="00176628"/>
    <w:rsid w:val="001773F4"/>
    <w:rsid w:val="001777BF"/>
    <w:rsid w:val="001810B2"/>
    <w:rsid w:val="00183194"/>
    <w:rsid w:val="00184232"/>
    <w:rsid w:val="00185711"/>
    <w:rsid w:val="0018650B"/>
    <w:rsid w:val="001871A5"/>
    <w:rsid w:val="00190738"/>
    <w:rsid w:val="001944D0"/>
    <w:rsid w:val="0019532A"/>
    <w:rsid w:val="001A0D6D"/>
    <w:rsid w:val="001A3630"/>
    <w:rsid w:val="001A3849"/>
    <w:rsid w:val="001A5473"/>
    <w:rsid w:val="001A76AD"/>
    <w:rsid w:val="001B17C8"/>
    <w:rsid w:val="001B21D4"/>
    <w:rsid w:val="001B314A"/>
    <w:rsid w:val="001B6E82"/>
    <w:rsid w:val="001B762C"/>
    <w:rsid w:val="001B7690"/>
    <w:rsid w:val="001C0B4A"/>
    <w:rsid w:val="001C1208"/>
    <w:rsid w:val="001C14AA"/>
    <w:rsid w:val="001C1672"/>
    <w:rsid w:val="001C1DBF"/>
    <w:rsid w:val="001C2769"/>
    <w:rsid w:val="001C33DE"/>
    <w:rsid w:val="001C565E"/>
    <w:rsid w:val="001D01C3"/>
    <w:rsid w:val="001D2ED4"/>
    <w:rsid w:val="001D3AE7"/>
    <w:rsid w:val="001D5FA4"/>
    <w:rsid w:val="001D6BF4"/>
    <w:rsid w:val="001D6CE2"/>
    <w:rsid w:val="001E2AEF"/>
    <w:rsid w:val="001E376F"/>
    <w:rsid w:val="001E49AC"/>
    <w:rsid w:val="001E4FB7"/>
    <w:rsid w:val="001E5E69"/>
    <w:rsid w:val="001E6747"/>
    <w:rsid w:val="001E691E"/>
    <w:rsid w:val="001E701C"/>
    <w:rsid w:val="001F3397"/>
    <w:rsid w:val="001F44C7"/>
    <w:rsid w:val="001F6368"/>
    <w:rsid w:val="001F6EB9"/>
    <w:rsid w:val="001F6FB5"/>
    <w:rsid w:val="001F7015"/>
    <w:rsid w:val="00200690"/>
    <w:rsid w:val="0020158C"/>
    <w:rsid w:val="00202E18"/>
    <w:rsid w:val="002036CD"/>
    <w:rsid w:val="00203982"/>
    <w:rsid w:val="00204622"/>
    <w:rsid w:val="002048BA"/>
    <w:rsid w:val="00204C13"/>
    <w:rsid w:val="00205020"/>
    <w:rsid w:val="002056CD"/>
    <w:rsid w:val="002069BC"/>
    <w:rsid w:val="00207225"/>
    <w:rsid w:val="00213525"/>
    <w:rsid w:val="00213A61"/>
    <w:rsid w:val="0021718F"/>
    <w:rsid w:val="002173E9"/>
    <w:rsid w:val="00217687"/>
    <w:rsid w:val="00221A14"/>
    <w:rsid w:val="0022305C"/>
    <w:rsid w:val="00223734"/>
    <w:rsid w:val="002247B4"/>
    <w:rsid w:val="002252C8"/>
    <w:rsid w:val="00226254"/>
    <w:rsid w:val="00227977"/>
    <w:rsid w:val="002304A7"/>
    <w:rsid w:val="002323D7"/>
    <w:rsid w:val="002338ED"/>
    <w:rsid w:val="0023519F"/>
    <w:rsid w:val="002364C0"/>
    <w:rsid w:val="0023768B"/>
    <w:rsid w:val="00237B00"/>
    <w:rsid w:val="00240A66"/>
    <w:rsid w:val="00241488"/>
    <w:rsid w:val="00241AF4"/>
    <w:rsid w:val="00241D9F"/>
    <w:rsid w:val="002422DF"/>
    <w:rsid w:val="0024368D"/>
    <w:rsid w:val="002442C8"/>
    <w:rsid w:val="00244E7D"/>
    <w:rsid w:val="002450D5"/>
    <w:rsid w:val="00247DF9"/>
    <w:rsid w:val="00247E2A"/>
    <w:rsid w:val="00253969"/>
    <w:rsid w:val="002553F4"/>
    <w:rsid w:val="00260B19"/>
    <w:rsid w:val="0026408C"/>
    <w:rsid w:val="00265216"/>
    <w:rsid w:val="00271576"/>
    <w:rsid w:val="0027197E"/>
    <w:rsid w:val="00272BEA"/>
    <w:rsid w:val="00273D57"/>
    <w:rsid w:val="00274B1E"/>
    <w:rsid w:val="00274B5D"/>
    <w:rsid w:val="00275F2E"/>
    <w:rsid w:val="00276C76"/>
    <w:rsid w:val="00277D7C"/>
    <w:rsid w:val="00277F7D"/>
    <w:rsid w:val="00280F7F"/>
    <w:rsid w:val="0028183C"/>
    <w:rsid w:val="00283DAE"/>
    <w:rsid w:val="002870ED"/>
    <w:rsid w:val="00291D71"/>
    <w:rsid w:val="00292E47"/>
    <w:rsid w:val="00292F1E"/>
    <w:rsid w:val="002935EA"/>
    <w:rsid w:val="00293BE0"/>
    <w:rsid w:val="00294486"/>
    <w:rsid w:val="0029719E"/>
    <w:rsid w:val="002A0813"/>
    <w:rsid w:val="002A2D5B"/>
    <w:rsid w:val="002A487E"/>
    <w:rsid w:val="002A654C"/>
    <w:rsid w:val="002A6D48"/>
    <w:rsid w:val="002A7C7F"/>
    <w:rsid w:val="002B02E5"/>
    <w:rsid w:val="002B1E5D"/>
    <w:rsid w:val="002B2B2C"/>
    <w:rsid w:val="002B3CCE"/>
    <w:rsid w:val="002B5C77"/>
    <w:rsid w:val="002B5E01"/>
    <w:rsid w:val="002B6898"/>
    <w:rsid w:val="002B755B"/>
    <w:rsid w:val="002C016E"/>
    <w:rsid w:val="002C02D7"/>
    <w:rsid w:val="002C0B26"/>
    <w:rsid w:val="002C1F57"/>
    <w:rsid w:val="002C360E"/>
    <w:rsid w:val="002C418B"/>
    <w:rsid w:val="002C5CE2"/>
    <w:rsid w:val="002C6BAC"/>
    <w:rsid w:val="002C7117"/>
    <w:rsid w:val="002D05F1"/>
    <w:rsid w:val="002D14B5"/>
    <w:rsid w:val="002D1B51"/>
    <w:rsid w:val="002D1C69"/>
    <w:rsid w:val="002D2859"/>
    <w:rsid w:val="002D3213"/>
    <w:rsid w:val="002D332E"/>
    <w:rsid w:val="002D386D"/>
    <w:rsid w:val="002D4092"/>
    <w:rsid w:val="002D46FB"/>
    <w:rsid w:val="002D4AFA"/>
    <w:rsid w:val="002D5435"/>
    <w:rsid w:val="002D5CB5"/>
    <w:rsid w:val="002D6B3A"/>
    <w:rsid w:val="002D747B"/>
    <w:rsid w:val="002D7BA2"/>
    <w:rsid w:val="002E1A1A"/>
    <w:rsid w:val="002E1C6F"/>
    <w:rsid w:val="002E2CF2"/>
    <w:rsid w:val="002E306B"/>
    <w:rsid w:val="002E41B6"/>
    <w:rsid w:val="002E5058"/>
    <w:rsid w:val="002E7D6B"/>
    <w:rsid w:val="002F0464"/>
    <w:rsid w:val="002F05E4"/>
    <w:rsid w:val="002F5FF0"/>
    <w:rsid w:val="002F68A9"/>
    <w:rsid w:val="002F75DE"/>
    <w:rsid w:val="002F7E3F"/>
    <w:rsid w:val="0030399A"/>
    <w:rsid w:val="00303BDA"/>
    <w:rsid w:val="00303FFE"/>
    <w:rsid w:val="003109BC"/>
    <w:rsid w:val="00310AAA"/>
    <w:rsid w:val="00311329"/>
    <w:rsid w:val="00311DE0"/>
    <w:rsid w:val="00314611"/>
    <w:rsid w:val="003153A4"/>
    <w:rsid w:val="00317026"/>
    <w:rsid w:val="00320205"/>
    <w:rsid w:val="003203E3"/>
    <w:rsid w:val="003217D1"/>
    <w:rsid w:val="00323DB4"/>
    <w:rsid w:val="003246F7"/>
    <w:rsid w:val="003253B0"/>
    <w:rsid w:val="00326274"/>
    <w:rsid w:val="00332928"/>
    <w:rsid w:val="0033377F"/>
    <w:rsid w:val="003338EA"/>
    <w:rsid w:val="0033525F"/>
    <w:rsid w:val="00335691"/>
    <w:rsid w:val="0033637D"/>
    <w:rsid w:val="00337FB8"/>
    <w:rsid w:val="00341AEC"/>
    <w:rsid w:val="00342596"/>
    <w:rsid w:val="003436B3"/>
    <w:rsid w:val="003468C9"/>
    <w:rsid w:val="00346C9E"/>
    <w:rsid w:val="00350046"/>
    <w:rsid w:val="00350688"/>
    <w:rsid w:val="003512E7"/>
    <w:rsid w:val="003515C4"/>
    <w:rsid w:val="00352598"/>
    <w:rsid w:val="00355AF5"/>
    <w:rsid w:val="00356029"/>
    <w:rsid w:val="00356769"/>
    <w:rsid w:val="00356C8F"/>
    <w:rsid w:val="003575A7"/>
    <w:rsid w:val="00357EC8"/>
    <w:rsid w:val="00360C92"/>
    <w:rsid w:val="003612E5"/>
    <w:rsid w:val="00362761"/>
    <w:rsid w:val="00364E11"/>
    <w:rsid w:val="00365E96"/>
    <w:rsid w:val="0036767D"/>
    <w:rsid w:val="00372919"/>
    <w:rsid w:val="00372C29"/>
    <w:rsid w:val="00373B71"/>
    <w:rsid w:val="00373CC0"/>
    <w:rsid w:val="00374B58"/>
    <w:rsid w:val="003751C8"/>
    <w:rsid w:val="00375EAB"/>
    <w:rsid w:val="003803B0"/>
    <w:rsid w:val="00383446"/>
    <w:rsid w:val="003839AE"/>
    <w:rsid w:val="00384106"/>
    <w:rsid w:val="0038528B"/>
    <w:rsid w:val="00385642"/>
    <w:rsid w:val="0038609C"/>
    <w:rsid w:val="00386754"/>
    <w:rsid w:val="003867E8"/>
    <w:rsid w:val="003923CD"/>
    <w:rsid w:val="0039386E"/>
    <w:rsid w:val="0039495E"/>
    <w:rsid w:val="00394DE7"/>
    <w:rsid w:val="003963BE"/>
    <w:rsid w:val="00397EDD"/>
    <w:rsid w:val="003A000D"/>
    <w:rsid w:val="003A107F"/>
    <w:rsid w:val="003A1613"/>
    <w:rsid w:val="003A3AEA"/>
    <w:rsid w:val="003A5F8B"/>
    <w:rsid w:val="003A6EF1"/>
    <w:rsid w:val="003A75EC"/>
    <w:rsid w:val="003B047B"/>
    <w:rsid w:val="003B048E"/>
    <w:rsid w:val="003B14B4"/>
    <w:rsid w:val="003B3E0D"/>
    <w:rsid w:val="003B63DE"/>
    <w:rsid w:val="003B71E6"/>
    <w:rsid w:val="003C0266"/>
    <w:rsid w:val="003C070F"/>
    <w:rsid w:val="003C125D"/>
    <w:rsid w:val="003C183F"/>
    <w:rsid w:val="003C25DE"/>
    <w:rsid w:val="003C2E75"/>
    <w:rsid w:val="003C387E"/>
    <w:rsid w:val="003C7602"/>
    <w:rsid w:val="003D2DCC"/>
    <w:rsid w:val="003D2F38"/>
    <w:rsid w:val="003D62A2"/>
    <w:rsid w:val="003D68A9"/>
    <w:rsid w:val="003D6F49"/>
    <w:rsid w:val="003E06F2"/>
    <w:rsid w:val="003E0CAC"/>
    <w:rsid w:val="003E1816"/>
    <w:rsid w:val="003E1FBA"/>
    <w:rsid w:val="003E21D3"/>
    <w:rsid w:val="003E43FD"/>
    <w:rsid w:val="003E6B41"/>
    <w:rsid w:val="003E71FB"/>
    <w:rsid w:val="003E73AE"/>
    <w:rsid w:val="003F080B"/>
    <w:rsid w:val="003F08F3"/>
    <w:rsid w:val="003F10FB"/>
    <w:rsid w:val="003F1FA6"/>
    <w:rsid w:val="003F26E4"/>
    <w:rsid w:val="003F273B"/>
    <w:rsid w:val="003F37BE"/>
    <w:rsid w:val="003F4066"/>
    <w:rsid w:val="003F486C"/>
    <w:rsid w:val="003F5C13"/>
    <w:rsid w:val="003F6F89"/>
    <w:rsid w:val="00400E48"/>
    <w:rsid w:val="0040112B"/>
    <w:rsid w:val="0040291C"/>
    <w:rsid w:val="00402A62"/>
    <w:rsid w:val="004034E9"/>
    <w:rsid w:val="004052A8"/>
    <w:rsid w:val="004057B0"/>
    <w:rsid w:val="00405FA5"/>
    <w:rsid w:val="00407630"/>
    <w:rsid w:val="0041017C"/>
    <w:rsid w:val="004109BE"/>
    <w:rsid w:val="00413A41"/>
    <w:rsid w:val="00415662"/>
    <w:rsid w:val="004161E8"/>
    <w:rsid w:val="004163B3"/>
    <w:rsid w:val="004178C5"/>
    <w:rsid w:val="00417CF6"/>
    <w:rsid w:val="00417EB4"/>
    <w:rsid w:val="0042186B"/>
    <w:rsid w:val="0042265D"/>
    <w:rsid w:val="00424721"/>
    <w:rsid w:val="00424ED9"/>
    <w:rsid w:val="00427B1C"/>
    <w:rsid w:val="00427C48"/>
    <w:rsid w:val="00430B0C"/>
    <w:rsid w:val="004312F1"/>
    <w:rsid w:val="00431A06"/>
    <w:rsid w:val="00431ABD"/>
    <w:rsid w:val="00431ADC"/>
    <w:rsid w:val="004333F2"/>
    <w:rsid w:val="00433F7A"/>
    <w:rsid w:val="00434DEF"/>
    <w:rsid w:val="00436824"/>
    <w:rsid w:val="00440583"/>
    <w:rsid w:val="004441CE"/>
    <w:rsid w:val="00446FDB"/>
    <w:rsid w:val="00450638"/>
    <w:rsid w:val="004508EB"/>
    <w:rsid w:val="00455695"/>
    <w:rsid w:val="00455B24"/>
    <w:rsid w:val="00455E4D"/>
    <w:rsid w:val="00456824"/>
    <w:rsid w:val="004610BE"/>
    <w:rsid w:val="00462B7C"/>
    <w:rsid w:val="004650A4"/>
    <w:rsid w:val="004719A6"/>
    <w:rsid w:val="00471CBF"/>
    <w:rsid w:val="00472E62"/>
    <w:rsid w:val="004747A7"/>
    <w:rsid w:val="004751E9"/>
    <w:rsid w:val="00476025"/>
    <w:rsid w:val="00476BDD"/>
    <w:rsid w:val="00476C31"/>
    <w:rsid w:val="00477312"/>
    <w:rsid w:val="00477A17"/>
    <w:rsid w:val="00481115"/>
    <w:rsid w:val="004831D5"/>
    <w:rsid w:val="0048400B"/>
    <w:rsid w:val="004841DC"/>
    <w:rsid w:val="004863F0"/>
    <w:rsid w:val="00487F2F"/>
    <w:rsid w:val="004907E2"/>
    <w:rsid w:val="0049201F"/>
    <w:rsid w:val="0049206E"/>
    <w:rsid w:val="00492DA3"/>
    <w:rsid w:val="00492F53"/>
    <w:rsid w:val="00493248"/>
    <w:rsid w:val="004967D7"/>
    <w:rsid w:val="00497917"/>
    <w:rsid w:val="004A2029"/>
    <w:rsid w:val="004A2161"/>
    <w:rsid w:val="004A4B10"/>
    <w:rsid w:val="004A7EB1"/>
    <w:rsid w:val="004B173B"/>
    <w:rsid w:val="004B2EFD"/>
    <w:rsid w:val="004B2F8D"/>
    <w:rsid w:val="004B3D7C"/>
    <w:rsid w:val="004B4CA9"/>
    <w:rsid w:val="004B4D09"/>
    <w:rsid w:val="004B5A35"/>
    <w:rsid w:val="004B5BE1"/>
    <w:rsid w:val="004B7728"/>
    <w:rsid w:val="004B7DA2"/>
    <w:rsid w:val="004C0E63"/>
    <w:rsid w:val="004C0E82"/>
    <w:rsid w:val="004C1866"/>
    <w:rsid w:val="004C235C"/>
    <w:rsid w:val="004C5160"/>
    <w:rsid w:val="004C6E9D"/>
    <w:rsid w:val="004D04F2"/>
    <w:rsid w:val="004D0EE4"/>
    <w:rsid w:val="004D2657"/>
    <w:rsid w:val="004D41FA"/>
    <w:rsid w:val="004D48F1"/>
    <w:rsid w:val="004D5490"/>
    <w:rsid w:val="004E0D19"/>
    <w:rsid w:val="004E1BAA"/>
    <w:rsid w:val="004E2A98"/>
    <w:rsid w:val="004E3177"/>
    <w:rsid w:val="004E458F"/>
    <w:rsid w:val="004E5840"/>
    <w:rsid w:val="004E704D"/>
    <w:rsid w:val="004E707D"/>
    <w:rsid w:val="004E74A3"/>
    <w:rsid w:val="004E76F0"/>
    <w:rsid w:val="004E792A"/>
    <w:rsid w:val="004F0855"/>
    <w:rsid w:val="004F1752"/>
    <w:rsid w:val="004F1C85"/>
    <w:rsid w:val="004F2644"/>
    <w:rsid w:val="004F35A0"/>
    <w:rsid w:val="00500B4E"/>
    <w:rsid w:val="0050113F"/>
    <w:rsid w:val="00501704"/>
    <w:rsid w:val="0050479F"/>
    <w:rsid w:val="00505F9F"/>
    <w:rsid w:val="00506CD7"/>
    <w:rsid w:val="00507E9E"/>
    <w:rsid w:val="00510A83"/>
    <w:rsid w:val="00511171"/>
    <w:rsid w:val="00511853"/>
    <w:rsid w:val="005119EE"/>
    <w:rsid w:val="00511D41"/>
    <w:rsid w:val="00511F55"/>
    <w:rsid w:val="00513172"/>
    <w:rsid w:val="0051513F"/>
    <w:rsid w:val="00516741"/>
    <w:rsid w:val="005171CE"/>
    <w:rsid w:val="005178EB"/>
    <w:rsid w:val="0052165F"/>
    <w:rsid w:val="0052200E"/>
    <w:rsid w:val="005233B1"/>
    <w:rsid w:val="0052364A"/>
    <w:rsid w:val="00524045"/>
    <w:rsid w:val="00524163"/>
    <w:rsid w:val="00524C97"/>
    <w:rsid w:val="00524F51"/>
    <w:rsid w:val="00525BCA"/>
    <w:rsid w:val="005268C7"/>
    <w:rsid w:val="005276C5"/>
    <w:rsid w:val="00527930"/>
    <w:rsid w:val="00532941"/>
    <w:rsid w:val="00533E52"/>
    <w:rsid w:val="00533FF5"/>
    <w:rsid w:val="005347ED"/>
    <w:rsid w:val="0053659A"/>
    <w:rsid w:val="0053674E"/>
    <w:rsid w:val="00536CDE"/>
    <w:rsid w:val="00536D17"/>
    <w:rsid w:val="00537C9C"/>
    <w:rsid w:val="00537D4D"/>
    <w:rsid w:val="00540A15"/>
    <w:rsid w:val="00541013"/>
    <w:rsid w:val="005413C6"/>
    <w:rsid w:val="00541B91"/>
    <w:rsid w:val="005420FA"/>
    <w:rsid w:val="00543EE0"/>
    <w:rsid w:val="0054519E"/>
    <w:rsid w:val="005453D3"/>
    <w:rsid w:val="005457EC"/>
    <w:rsid w:val="00545931"/>
    <w:rsid w:val="00546C1F"/>
    <w:rsid w:val="005511B7"/>
    <w:rsid w:val="00552223"/>
    <w:rsid w:val="00553E0D"/>
    <w:rsid w:val="00554199"/>
    <w:rsid w:val="00554755"/>
    <w:rsid w:val="005555BA"/>
    <w:rsid w:val="00555ADC"/>
    <w:rsid w:val="00556C94"/>
    <w:rsid w:val="00557AA0"/>
    <w:rsid w:val="00560429"/>
    <w:rsid w:val="005606BE"/>
    <w:rsid w:val="00560BDA"/>
    <w:rsid w:val="0056128A"/>
    <w:rsid w:val="00564BCF"/>
    <w:rsid w:val="00564EE0"/>
    <w:rsid w:val="00565DB4"/>
    <w:rsid w:val="00566B4C"/>
    <w:rsid w:val="0056725D"/>
    <w:rsid w:val="00575874"/>
    <w:rsid w:val="00577D86"/>
    <w:rsid w:val="00577F4B"/>
    <w:rsid w:val="005809FF"/>
    <w:rsid w:val="0058315B"/>
    <w:rsid w:val="005838CE"/>
    <w:rsid w:val="005838D6"/>
    <w:rsid w:val="005842F9"/>
    <w:rsid w:val="00584BE3"/>
    <w:rsid w:val="00584F7E"/>
    <w:rsid w:val="005850A6"/>
    <w:rsid w:val="005865F7"/>
    <w:rsid w:val="0059007A"/>
    <w:rsid w:val="00590283"/>
    <w:rsid w:val="00590CAC"/>
    <w:rsid w:val="00590E9F"/>
    <w:rsid w:val="00591ED0"/>
    <w:rsid w:val="00592441"/>
    <w:rsid w:val="005928E4"/>
    <w:rsid w:val="005943CE"/>
    <w:rsid w:val="00596A5E"/>
    <w:rsid w:val="00596BCE"/>
    <w:rsid w:val="00596E54"/>
    <w:rsid w:val="005A0DA8"/>
    <w:rsid w:val="005A0DD6"/>
    <w:rsid w:val="005A1115"/>
    <w:rsid w:val="005A18FB"/>
    <w:rsid w:val="005A2113"/>
    <w:rsid w:val="005A309B"/>
    <w:rsid w:val="005A413E"/>
    <w:rsid w:val="005A54C6"/>
    <w:rsid w:val="005A7B24"/>
    <w:rsid w:val="005B36D9"/>
    <w:rsid w:val="005B3C6A"/>
    <w:rsid w:val="005B4C3C"/>
    <w:rsid w:val="005B7FF2"/>
    <w:rsid w:val="005C0D58"/>
    <w:rsid w:val="005C142E"/>
    <w:rsid w:val="005C1839"/>
    <w:rsid w:val="005C2616"/>
    <w:rsid w:val="005C2664"/>
    <w:rsid w:val="005C266D"/>
    <w:rsid w:val="005C28FB"/>
    <w:rsid w:val="005C2C6B"/>
    <w:rsid w:val="005C3BD3"/>
    <w:rsid w:val="005C5018"/>
    <w:rsid w:val="005C60E0"/>
    <w:rsid w:val="005C65B8"/>
    <w:rsid w:val="005D0A27"/>
    <w:rsid w:val="005D0B53"/>
    <w:rsid w:val="005D1A4C"/>
    <w:rsid w:val="005D3671"/>
    <w:rsid w:val="005D55A3"/>
    <w:rsid w:val="005D59D0"/>
    <w:rsid w:val="005D5AC3"/>
    <w:rsid w:val="005D612D"/>
    <w:rsid w:val="005D620C"/>
    <w:rsid w:val="005D6556"/>
    <w:rsid w:val="005D7758"/>
    <w:rsid w:val="005E26D3"/>
    <w:rsid w:val="005E3768"/>
    <w:rsid w:val="005E380D"/>
    <w:rsid w:val="005E44F3"/>
    <w:rsid w:val="005E4BEA"/>
    <w:rsid w:val="005E518C"/>
    <w:rsid w:val="005E5486"/>
    <w:rsid w:val="005E6728"/>
    <w:rsid w:val="005E7A9B"/>
    <w:rsid w:val="005F06A8"/>
    <w:rsid w:val="005F1005"/>
    <w:rsid w:val="005F171A"/>
    <w:rsid w:val="005F1BC6"/>
    <w:rsid w:val="005F2D58"/>
    <w:rsid w:val="005F3717"/>
    <w:rsid w:val="005F477B"/>
    <w:rsid w:val="005F670D"/>
    <w:rsid w:val="00600A7E"/>
    <w:rsid w:val="00602482"/>
    <w:rsid w:val="00603113"/>
    <w:rsid w:val="006031E8"/>
    <w:rsid w:val="006046B7"/>
    <w:rsid w:val="006064B8"/>
    <w:rsid w:val="00606BCF"/>
    <w:rsid w:val="00611DAF"/>
    <w:rsid w:val="006138E8"/>
    <w:rsid w:val="00615C04"/>
    <w:rsid w:val="00621A0F"/>
    <w:rsid w:val="006223E3"/>
    <w:rsid w:val="0062290C"/>
    <w:rsid w:val="0062340E"/>
    <w:rsid w:val="006243E5"/>
    <w:rsid w:val="006271E9"/>
    <w:rsid w:val="00627EC7"/>
    <w:rsid w:val="0063235D"/>
    <w:rsid w:val="00632F4D"/>
    <w:rsid w:val="00633110"/>
    <w:rsid w:val="00633EC2"/>
    <w:rsid w:val="00634272"/>
    <w:rsid w:val="00634BE4"/>
    <w:rsid w:val="006355D5"/>
    <w:rsid w:val="00635C08"/>
    <w:rsid w:val="00635DD7"/>
    <w:rsid w:val="00636692"/>
    <w:rsid w:val="00642033"/>
    <w:rsid w:val="006426CE"/>
    <w:rsid w:val="006436E3"/>
    <w:rsid w:val="006438A8"/>
    <w:rsid w:val="00644F47"/>
    <w:rsid w:val="006462E7"/>
    <w:rsid w:val="006473E9"/>
    <w:rsid w:val="00650311"/>
    <w:rsid w:val="006503FB"/>
    <w:rsid w:val="006506FB"/>
    <w:rsid w:val="00651E89"/>
    <w:rsid w:val="00652AAD"/>
    <w:rsid w:val="00652B00"/>
    <w:rsid w:val="00653298"/>
    <w:rsid w:val="006540BE"/>
    <w:rsid w:val="00657D07"/>
    <w:rsid w:val="00657E51"/>
    <w:rsid w:val="006603C7"/>
    <w:rsid w:val="006605B1"/>
    <w:rsid w:val="00661FA3"/>
    <w:rsid w:val="00662A54"/>
    <w:rsid w:val="00664B45"/>
    <w:rsid w:val="00664C55"/>
    <w:rsid w:val="00664DF1"/>
    <w:rsid w:val="0066594A"/>
    <w:rsid w:val="00665F44"/>
    <w:rsid w:val="006670C1"/>
    <w:rsid w:val="00667BC9"/>
    <w:rsid w:val="00667E32"/>
    <w:rsid w:val="0067037E"/>
    <w:rsid w:val="006704C2"/>
    <w:rsid w:val="0067315A"/>
    <w:rsid w:val="00675837"/>
    <w:rsid w:val="00676AE3"/>
    <w:rsid w:val="006808BE"/>
    <w:rsid w:val="00680CBD"/>
    <w:rsid w:val="0068200C"/>
    <w:rsid w:val="006823CC"/>
    <w:rsid w:val="00683441"/>
    <w:rsid w:val="00684D03"/>
    <w:rsid w:val="00685652"/>
    <w:rsid w:val="006870A8"/>
    <w:rsid w:val="00687CFA"/>
    <w:rsid w:val="00690E75"/>
    <w:rsid w:val="00691064"/>
    <w:rsid w:val="00692000"/>
    <w:rsid w:val="006938AB"/>
    <w:rsid w:val="00694599"/>
    <w:rsid w:val="00694EFF"/>
    <w:rsid w:val="00697FA7"/>
    <w:rsid w:val="006A12D8"/>
    <w:rsid w:val="006A18D9"/>
    <w:rsid w:val="006A1AB8"/>
    <w:rsid w:val="006A2B9B"/>
    <w:rsid w:val="006A2C9B"/>
    <w:rsid w:val="006A3C4D"/>
    <w:rsid w:val="006A4BC1"/>
    <w:rsid w:val="006A4CF2"/>
    <w:rsid w:val="006A530E"/>
    <w:rsid w:val="006A5F3F"/>
    <w:rsid w:val="006B0F92"/>
    <w:rsid w:val="006B164F"/>
    <w:rsid w:val="006B49FF"/>
    <w:rsid w:val="006B4C1C"/>
    <w:rsid w:val="006B6C78"/>
    <w:rsid w:val="006B7690"/>
    <w:rsid w:val="006B7AA5"/>
    <w:rsid w:val="006C0D7B"/>
    <w:rsid w:val="006C16B6"/>
    <w:rsid w:val="006C1FB2"/>
    <w:rsid w:val="006C2871"/>
    <w:rsid w:val="006C289C"/>
    <w:rsid w:val="006C6184"/>
    <w:rsid w:val="006C714A"/>
    <w:rsid w:val="006D1F72"/>
    <w:rsid w:val="006D52F8"/>
    <w:rsid w:val="006D600A"/>
    <w:rsid w:val="006E05DF"/>
    <w:rsid w:val="006E13BD"/>
    <w:rsid w:val="006E3346"/>
    <w:rsid w:val="006E36CE"/>
    <w:rsid w:val="006E36D6"/>
    <w:rsid w:val="006E4B2C"/>
    <w:rsid w:val="006E547D"/>
    <w:rsid w:val="006E5512"/>
    <w:rsid w:val="006E5B14"/>
    <w:rsid w:val="006F1FBA"/>
    <w:rsid w:val="006F2D63"/>
    <w:rsid w:val="006F4C5B"/>
    <w:rsid w:val="006F587C"/>
    <w:rsid w:val="006F67C7"/>
    <w:rsid w:val="006F7B40"/>
    <w:rsid w:val="00701275"/>
    <w:rsid w:val="00704DE8"/>
    <w:rsid w:val="007065A4"/>
    <w:rsid w:val="00706810"/>
    <w:rsid w:val="00706825"/>
    <w:rsid w:val="007115E9"/>
    <w:rsid w:val="00711AE7"/>
    <w:rsid w:val="00711B55"/>
    <w:rsid w:val="00712308"/>
    <w:rsid w:val="00713BA1"/>
    <w:rsid w:val="00716D2C"/>
    <w:rsid w:val="007170A2"/>
    <w:rsid w:val="007222E5"/>
    <w:rsid w:val="00722D98"/>
    <w:rsid w:val="0072483A"/>
    <w:rsid w:val="007249D8"/>
    <w:rsid w:val="00725968"/>
    <w:rsid w:val="00727671"/>
    <w:rsid w:val="007278B7"/>
    <w:rsid w:val="00727962"/>
    <w:rsid w:val="00730C81"/>
    <w:rsid w:val="0073135A"/>
    <w:rsid w:val="007329A7"/>
    <w:rsid w:val="00733A90"/>
    <w:rsid w:val="007346C8"/>
    <w:rsid w:val="00736BED"/>
    <w:rsid w:val="00737DF9"/>
    <w:rsid w:val="007403A0"/>
    <w:rsid w:val="007403AA"/>
    <w:rsid w:val="0074133F"/>
    <w:rsid w:val="007422C7"/>
    <w:rsid w:val="00743C66"/>
    <w:rsid w:val="007458A7"/>
    <w:rsid w:val="00745B5A"/>
    <w:rsid w:val="00745C72"/>
    <w:rsid w:val="00747854"/>
    <w:rsid w:val="00753516"/>
    <w:rsid w:val="00753B1D"/>
    <w:rsid w:val="007540A2"/>
    <w:rsid w:val="00754533"/>
    <w:rsid w:val="0075478E"/>
    <w:rsid w:val="00755664"/>
    <w:rsid w:val="00760ADA"/>
    <w:rsid w:val="00761C13"/>
    <w:rsid w:val="00762CCF"/>
    <w:rsid w:val="00763E31"/>
    <w:rsid w:val="00764A6F"/>
    <w:rsid w:val="00765B00"/>
    <w:rsid w:val="007665FC"/>
    <w:rsid w:val="00766707"/>
    <w:rsid w:val="00772616"/>
    <w:rsid w:val="00772F5B"/>
    <w:rsid w:val="00773898"/>
    <w:rsid w:val="007741D2"/>
    <w:rsid w:val="007806AF"/>
    <w:rsid w:val="00780E72"/>
    <w:rsid w:val="0078207D"/>
    <w:rsid w:val="00782154"/>
    <w:rsid w:val="00782464"/>
    <w:rsid w:val="0078373C"/>
    <w:rsid w:val="007840CE"/>
    <w:rsid w:val="007846D6"/>
    <w:rsid w:val="007847AC"/>
    <w:rsid w:val="0078549F"/>
    <w:rsid w:val="00785C7B"/>
    <w:rsid w:val="0078682D"/>
    <w:rsid w:val="00787EF9"/>
    <w:rsid w:val="00790010"/>
    <w:rsid w:val="00790401"/>
    <w:rsid w:val="00794757"/>
    <w:rsid w:val="00794AF8"/>
    <w:rsid w:val="00794EE2"/>
    <w:rsid w:val="00795165"/>
    <w:rsid w:val="007A0693"/>
    <w:rsid w:val="007A2B0D"/>
    <w:rsid w:val="007A3A2C"/>
    <w:rsid w:val="007A4501"/>
    <w:rsid w:val="007B1477"/>
    <w:rsid w:val="007B1A05"/>
    <w:rsid w:val="007B58ED"/>
    <w:rsid w:val="007C0107"/>
    <w:rsid w:val="007C05D8"/>
    <w:rsid w:val="007C11F5"/>
    <w:rsid w:val="007C16B1"/>
    <w:rsid w:val="007C1720"/>
    <w:rsid w:val="007C1766"/>
    <w:rsid w:val="007C1E35"/>
    <w:rsid w:val="007C2112"/>
    <w:rsid w:val="007C2965"/>
    <w:rsid w:val="007C2C06"/>
    <w:rsid w:val="007C434D"/>
    <w:rsid w:val="007C4A45"/>
    <w:rsid w:val="007C615F"/>
    <w:rsid w:val="007C6874"/>
    <w:rsid w:val="007C7F56"/>
    <w:rsid w:val="007D0EAB"/>
    <w:rsid w:val="007D1EF7"/>
    <w:rsid w:val="007D2B0E"/>
    <w:rsid w:val="007D31F6"/>
    <w:rsid w:val="007D3EF7"/>
    <w:rsid w:val="007D4FD4"/>
    <w:rsid w:val="007D5EA2"/>
    <w:rsid w:val="007D61F1"/>
    <w:rsid w:val="007D6F30"/>
    <w:rsid w:val="007D737A"/>
    <w:rsid w:val="007D7876"/>
    <w:rsid w:val="007E194E"/>
    <w:rsid w:val="007E30BE"/>
    <w:rsid w:val="007E52D6"/>
    <w:rsid w:val="007E561A"/>
    <w:rsid w:val="007E5751"/>
    <w:rsid w:val="007E5C01"/>
    <w:rsid w:val="007F12B7"/>
    <w:rsid w:val="007F2D96"/>
    <w:rsid w:val="007F2D97"/>
    <w:rsid w:val="007F3191"/>
    <w:rsid w:val="007F3E22"/>
    <w:rsid w:val="007F4222"/>
    <w:rsid w:val="007F45C2"/>
    <w:rsid w:val="007F478D"/>
    <w:rsid w:val="007F71E0"/>
    <w:rsid w:val="00801975"/>
    <w:rsid w:val="00802631"/>
    <w:rsid w:val="00802975"/>
    <w:rsid w:val="00802C42"/>
    <w:rsid w:val="008042CA"/>
    <w:rsid w:val="0080554D"/>
    <w:rsid w:val="00806413"/>
    <w:rsid w:val="0081221C"/>
    <w:rsid w:val="00813786"/>
    <w:rsid w:val="008138A9"/>
    <w:rsid w:val="0081633E"/>
    <w:rsid w:val="00821461"/>
    <w:rsid w:val="00826D9D"/>
    <w:rsid w:val="00826EAB"/>
    <w:rsid w:val="00830135"/>
    <w:rsid w:val="00830BA3"/>
    <w:rsid w:val="00832592"/>
    <w:rsid w:val="0083279D"/>
    <w:rsid w:val="00833401"/>
    <w:rsid w:val="008401FB"/>
    <w:rsid w:val="0084027A"/>
    <w:rsid w:val="00840F48"/>
    <w:rsid w:val="00842F4F"/>
    <w:rsid w:val="00846B06"/>
    <w:rsid w:val="00850399"/>
    <w:rsid w:val="00851D1E"/>
    <w:rsid w:val="00851D44"/>
    <w:rsid w:val="0085290E"/>
    <w:rsid w:val="008539D3"/>
    <w:rsid w:val="008549D3"/>
    <w:rsid w:val="00855626"/>
    <w:rsid w:val="00856238"/>
    <w:rsid w:val="0086034F"/>
    <w:rsid w:val="00860B18"/>
    <w:rsid w:val="00861021"/>
    <w:rsid w:val="0086248C"/>
    <w:rsid w:val="008626AB"/>
    <w:rsid w:val="008634FB"/>
    <w:rsid w:val="008643DE"/>
    <w:rsid w:val="0086534C"/>
    <w:rsid w:val="00865C37"/>
    <w:rsid w:val="008663BC"/>
    <w:rsid w:val="0086728E"/>
    <w:rsid w:val="00867574"/>
    <w:rsid w:val="00867E47"/>
    <w:rsid w:val="00871ED2"/>
    <w:rsid w:val="00873076"/>
    <w:rsid w:val="00873CBC"/>
    <w:rsid w:val="00873ED7"/>
    <w:rsid w:val="008747E4"/>
    <w:rsid w:val="008748FD"/>
    <w:rsid w:val="00874F62"/>
    <w:rsid w:val="008750B1"/>
    <w:rsid w:val="008758B9"/>
    <w:rsid w:val="0087660F"/>
    <w:rsid w:val="00880BCD"/>
    <w:rsid w:val="00884D4A"/>
    <w:rsid w:val="00886640"/>
    <w:rsid w:val="00891D0A"/>
    <w:rsid w:val="008923B9"/>
    <w:rsid w:val="0089473D"/>
    <w:rsid w:val="00894CB2"/>
    <w:rsid w:val="008972F4"/>
    <w:rsid w:val="008A1841"/>
    <w:rsid w:val="008A1DA3"/>
    <w:rsid w:val="008A1F00"/>
    <w:rsid w:val="008A52DE"/>
    <w:rsid w:val="008B695A"/>
    <w:rsid w:val="008B7E69"/>
    <w:rsid w:val="008C0E14"/>
    <w:rsid w:val="008C1269"/>
    <w:rsid w:val="008C46A3"/>
    <w:rsid w:val="008C4784"/>
    <w:rsid w:val="008C6152"/>
    <w:rsid w:val="008C65B5"/>
    <w:rsid w:val="008C6D43"/>
    <w:rsid w:val="008C6E9D"/>
    <w:rsid w:val="008D027B"/>
    <w:rsid w:val="008D2D33"/>
    <w:rsid w:val="008D356A"/>
    <w:rsid w:val="008D35A3"/>
    <w:rsid w:val="008D41BF"/>
    <w:rsid w:val="008D493B"/>
    <w:rsid w:val="008D740F"/>
    <w:rsid w:val="008E0180"/>
    <w:rsid w:val="008E42D5"/>
    <w:rsid w:val="008E558B"/>
    <w:rsid w:val="008E7255"/>
    <w:rsid w:val="008F0881"/>
    <w:rsid w:val="008F2EC3"/>
    <w:rsid w:val="008F3947"/>
    <w:rsid w:val="008F5A0B"/>
    <w:rsid w:val="008F72DE"/>
    <w:rsid w:val="008F7AF9"/>
    <w:rsid w:val="00902C97"/>
    <w:rsid w:val="0090491A"/>
    <w:rsid w:val="00904D71"/>
    <w:rsid w:val="0090588D"/>
    <w:rsid w:val="00907B6F"/>
    <w:rsid w:val="00910378"/>
    <w:rsid w:val="00910BCD"/>
    <w:rsid w:val="00910FAC"/>
    <w:rsid w:val="00911144"/>
    <w:rsid w:val="00911638"/>
    <w:rsid w:val="009125D3"/>
    <w:rsid w:val="0091489D"/>
    <w:rsid w:val="00916439"/>
    <w:rsid w:val="0091767D"/>
    <w:rsid w:val="009201CE"/>
    <w:rsid w:val="00920E21"/>
    <w:rsid w:val="009222B0"/>
    <w:rsid w:val="00923E48"/>
    <w:rsid w:val="0092631A"/>
    <w:rsid w:val="00927DD6"/>
    <w:rsid w:val="00930B96"/>
    <w:rsid w:val="009315DF"/>
    <w:rsid w:val="00931667"/>
    <w:rsid w:val="00931973"/>
    <w:rsid w:val="00931E1F"/>
    <w:rsid w:val="009325C1"/>
    <w:rsid w:val="00933527"/>
    <w:rsid w:val="00934D49"/>
    <w:rsid w:val="0093685A"/>
    <w:rsid w:val="00937008"/>
    <w:rsid w:val="009370F5"/>
    <w:rsid w:val="00937B16"/>
    <w:rsid w:val="00940FF1"/>
    <w:rsid w:val="009412CA"/>
    <w:rsid w:val="009412D7"/>
    <w:rsid w:val="00941B32"/>
    <w:rsid w:val="00943F73"/>
    <w:rsid w:val="009447E1"/>
    <w:rsid w:val="0094568A"/>
    <w:rsid w:val="00945EDE"/>
    <w:rsid w:val="00946289"/>
    <w:rsid w:val="00947F2B"/>
    <w:rsid w:val="0095030E"/>
    <w:rsid w:val="009511CF"/>
    <w:rsid w:val="00952222"/>
    <w:rsid w:val="00952C72"/>
    <w:rsid w:val="009548B9"/>
    <w:rsid w:val="00954FD9"/>
    <w:rsid w:val="00956110"/>
    <w:rsid w:val="0096314C"/>
    <w:rsid w:val="0096391F"/>
    <w:rsid w:val="00964B39"/>
    <w:rsid w:val="00965534"/>
    <w:rsid w:val="00965BEA"/>
    <w:rsid w:val="00965DEB"/>
    <w:rsid w:val="00966137"/>
    <w:rsid w:val="009667E9"/>
    <w:rsid w:val="009679FC"/>
    <w:rsid w:val="00970660"/>
    <w:rsid w:val="009726E8"/>
    <w:rsid w:val="009737F7"/>
    <w:rsid w:val="009744F7"/>
    <w:rsid w:val="00974C18"/>
    <w:rsid w:val="00975050"/>
    <w:rsid w:val="0097656A"/>
    <w:rsid w:val="0097756D"/>
    <w:rsid w:val="00980D87"/>
    <w:rsid w:val="009825DB"/>
    <w:rsid w:val="00982D53"/>
    <w:rsid w:val="009836F1"/>
    <w:rsid w:val="00983CCB"/>
    <w:rsid w:val="00985588"/>
    <w:rsid w:val="0098672B"/>
    <w:rsid w:val="00986851"/>
    <w:rsid w:val="00986A1F"/>
    <w:rsid w:val="00987238"/>
    <w:rsid w:val="0098773F"/>
    <w:rsid w:val="00990A86"/>
    <w:rsid w:val="00990F79"/>
    <w:rsid w:val="009910DF"/>
    <w:rsid w:val="00992864"/>
    <w:rsid w:val="009934ED"/>
    <w:rsid w:val="00993507"/>
    <w:rsid w:val="009953A0"/>
    <w:rsid w:val="00996450"/>
    <w:rsid w:val="009964A5"/>
    <w:rsid w:val="009A1F47"/>
    <w:rsid w:val="009A2354"/>
    <w:rsid w:val="009A26C2"/>
    <w:rsid w:val="009A4326"/>
    <w:rsid w:val="009A5731"/>
    <w:rsid w:val="009A5CD8"/>
    <w:rsid w:val="009A76CE"/>
    <w:rsid w:val="009B0148"/>
    <w:rsid w:val="009B1828"/>
    <w:rsid w:val="009B31EF"/>
    <w:rsid w:val="009B55A2"/>
    <w:rsid w:val="009B56B6"/>
    <w:rsid w:val="009B5BDA"/>
    <w:rsid w:val="009B7587"/>
    <w:rsid w:val="009B7DA2"/>
    <w:rsid w:val="009C19E8"/>
    <w:rsid w:val="009C4256"/>
    <w:rsid w:val="009C6BB9"/>
    <w:rsid w:val="009D06AB"/>
    <w:rsid w:val="009D1303"/>
    <w:rsid w:val="009D20AA"/>
    <w:rsid w:val="009D2547"/>
    <w:rsid w:val="009D447D"/>
    <w:rsid w:val="009D7D0B"/>
    <w:rsid w:val="009E0C7A"/>
    <w:rsid w:val="009E2824"/>
    <w:rsid w:val="009E7E29"/>
    <w:rsid w:val="009F32F0"/>
    <w:rsid w:val="009F3D33"/>
    <w:rsid w:val="009F3F6A"/>
    <w:rsid w:val="009F3FF4"/>
    <w:rsid w:val="009F462A"/>
    <w:rsid w:val="009F48B7"/>
    <w:rsid w:val="009F4A48"/>
    <w:rsid w:val="009F5B68"/>
    <w:rsid w:val="009F62A8"/>
    <w:rsid w:val="009F6AA8"/>
    <w:rsid w:val="009F740C"/>
    <w:rsid w:val="00A00272"/>
    <w:rsid w:val="00A01328"/>
    <w:rsid w:val="00A01C6F"/>
    <w:rsid w:val="00A029AF"/>
    <w:rsid w:val="00A05546"/>
    <w:rsid w:val="00A06667"/>
    <w:rsid w:val="00A07320"/>
    <w:rsid w:val="00A11ED4"/>
    <w:rsid w:val="00A12F36"/>
    <w:rsid w:val="00A13FB2"/>
    <w:rsid w:val="00A150E3"/>
    <w:rsid w:val="00A153E8"/>
    <w:rsid w:val="00A168BF"/>
    <w:rsid w:val="00A205B8"/>
    <w:rsid w:val="00A23503"/>
    <w:rsid w:val="00A24988"/>
    <w:rsid w:val="00A24D95"/>
    <w:rsid w:val="00A256A8"/>
    <w:rsid w:val="00A25F45"/>
    <w:rsid w:val="00A269AC"/>
    <w:rsid w:val="00A26E21"/>
    <w:rsid w:val="00A30FCF"/>
    <w:rsid w:val="00A323C2"/>
    <w:rsid w:val="00A33E12"/>
    <w:rsid w:val="00A34BC9"/>
    <w:rsid w:val="00A351E7"/>
    <w:rsid w:val="00A35B78"/>
    <w:rsid w:val="00A35DFA"/>
    <w:rsid w:val="00A36081"/>
    <w:rsid w:val="00A3640E"/>
    <w:rsid w:val="00A375CE"/>
    <w:rsid w:val="00A37874"/>
    <w:rsid w:val="00A41C1D"/>
    <w:rsid w:val="00A42CA1"/>
    <w:rsid w:val="00A434F3"/>
    <w:rsid w:val="00A43856"/>
    <w:rsid w:val="00A43986"/>
    <w:rsid w:val="00A44D9B"/>
    <w:rsid w:val="00A474E8"/>
    <w:rsid w:val="00A475D9"/>
    <w:rsid w:val="00A4761D"/>
    <w:rsid w:val="00A476CB"/>
    <w:rsid w:val="00A47ADE"/>
    <w:rsid w:val="00A47B89"/>
    <w:rsid w:val="00A516F5"/>
    <w:rsid w:val="00A521C7"/>
    <w:rsid w:val="00A52E81"/>
    <w:rsid w:val="00A534DF"/>
    <w:rsid w:val="00A5499C"/>
    <w:rsid w:val="00A56AEC"/>
    <w:rsid w:val="00A63BC7"/>
    <w:rsid w:val="00A6701E"/>
    <w:rsid w:val="00A72E64"/>
    <w:rsid w:val="00A74E43"/>
    <w:rsid w:val="00A75BB2"/>
    <w:rsid w:val="00A76DB6"/>
    <w:rsid w:val="00A7787F"/>
    <w:rsid w:val="00A7790C"/>
    <w:rsid w:val="00A77D46"/>
    <w:rsid w:val="00A800BB"/>
    <w:rsid w:val="00A8011E"/>
    <w:rsid w:val="00A808C1"/>
    <w:rsid w:val="00A80EB3"/>
    <w:rsid w:val="00A8145E"/>
    <w:rsid w:val="00A8164F"/>
    <w:rsid w:val="00A8427E"/>
    <w:rsid w:val="00A84EB5"/>
    <w:rsid w:val="00A872E7"/>
    <w:rsid w:val="00A87DD8"/>
    <w:rsid w:val="00A905D3"/>
    <w:rsid w:val="00A90C79"/>
    <w:rsid w:val="00A96D60"/>
    <w:rsid w:val="00A971FE"/>
    <w:rsid w:val="00AA0818"/>
    <w:rsid w:val="00AA1D65"/>
    <w:rsid w:val="00AA2D78"/>
    <w:rsid w:val="00AA37B8"/>
    <w:rsid w:val="00AA385E"/>
    <w:rsid w:val="00AA4CA7"/>
    <w:rsid w:val="00AB1B6B"/>
    <w:rsid w:val="00AB2F9D"/>
    <w:rsid w:val="00AB3BDD"/>
    <w:rsid w:val="00AB3D40"/>
    <w:rsid w:val="00AB4E07"/>
    <w:rsid w:val="00AB6757"/>
    <w:rsid w:val="00AB7C76"/>
    <w:rsid w:val="00AC126C"/>
    <w:rsid w:val="00AC6A27"/>
    <w:rsid w:val="00AC6CBA"/>
    <w:rsid w:val="00AC6FB8"/>
    <w:rsid w:val="00AC7851"/>
    <w:rsid w:val="00AD0A65"/>
    <w:rsid w:val="00AD1078"/>
    <w:rsid w:val="00AD2C57"/>
    <w:rsid w:val="00AD4C29"/>
    <w:rsid w:val="00AE0DFF"/>
    <w:rsid w:val="00AE1755"/>
    <w:rsid w:val="00AE5219"/>
    <w:rsid w:val="00AE528E"/>
    <w:rsid w:val="00AF0275"/>
    <w:rsid w:val="00AF1857"/>
    <w:rsid w:val="00AF253E"/>
    <w:rsid w:val="00AF274E"/>
    <w:rsid w:val="00AF2BC9"/>
    <w:rsid w:val="00AF2ED2"/>
    <w:rsid w:val="00AF328A"/>
    <w:rsid w:val="00AF5548"/>
    <w:rsid w:val="00B0124B"/>
    <w:rsid w:val="00B0129E"/>
    <w:rsid w:val="00B036A7"/>
    <w:rsid w:val="00B067D2"/>
    <w:rsid w:val="00B101E4"/>
    <w:rsid w:val="00B10CB4"/>
    <w:rsid w:val="00B11020"/>
    <w:rsid w:val="00B12FE0"/>
    <w:rsid w:val="00B130E6"/>
    <w:rsid w:val="00B14864"/>
    <w:rsid w:val="00B227BB"/>
    <w:rsid w:val="00B22B93"/>
    <w:rsid w:val="00B234F7"/>
    <w:rsid w:val="00B25F35"/>
    <w:rsid w:val="00B26137"/>
    <w:rsid w:val="00B26610"/>
    <w:rsid w:val="00B26893"/>
    <w:rsid w:val="00B2786C"/>
    <w:rsid w:val="00B3029F"/>
    <w:rsid w:val="00B30A44"/>
    <w:rsid w:val="00B32506"/>
    <w:rsid w:val="00B32F78"/>
    <w:rsid w:val="00B36517"/>
    <w:rsid w:val="00B36E43"/>
    <w:rsid w:val="00B376EE"/>
    <w:rsid w:val="00B410EF"/>
    <w:rsid w:val="00B43530"/>
    <w:rsid w:val="00B43B03"/>
    <w:rsid w:val="00B4588E"/>
    <w:rsid w:val="00B46CAE"/>
    <w:rsid w:val="00B47D79"/>
    <w:rsid w:val="00B510AA"/>
    <w:rsid w:val="00B51166"/>
    <w:rsid w:val="00B52120"/>
    <w:rsid w:val="00B5271C"/>
    <w:rsid w:val="00B541E7"/>
    <w:rsid w:val="00B5425F"/>
    <w:rsid w:val="00B57CEE"/>
    <w:rsid w:val="00B6027F"/>
    <w:rsid w:val="00B62F80"/>
    <w:rsid w:val="00B64B68"/>
    <w:rsid w:val="00B65766"/>
    <w:rsid w:val="00B65F4E"/>
    <w:rsid w:val="00B66DD0"/>
    <w:rsid w:val="00B675C3"/>
    <w:rsid w:val="00B67786"/>
    <w:rsid w:val="00B70419"/>
    <w:rsid w:val="00B709C2"/>
    <w:rsid w:val="00B7155F"/>
    <w:rsid w:val="00B7159A"/>
    <w:rsid w:val="00B72671"/>
    <w:rsid w:val="00B73309"/>
    <w:rsid w:val="00B73E8D"/>
    <w:rsid w:val="00B74FDB"/>
    <w:rsid w:val="00B7537F"/>
    <w:rsid w:val="00B75C45"/>
    <w:rsid w:val="00B76BB0"/>
    <w:rsid w:val="00B83872"/>
    <w:rsid w:val="00B845BD"/>
    <w:rsid w:val="00B85FBF"/>
    <w:rsid w:val="00B862C5"/>
    <w:rsid w:val="00B934B5"/>
    <w:rsid w:val="00B93537"/>
    <w:rsid w:val="00B93E0D"/>
    <w:rsid w:val="00B93FBC"/>
    <w:rsid w:val="00B95D2D"/>
    <w:rsid w:val="00B965CB"/>
    <w:rsid w:val="00B970C0"/>
    <w:rsid w:val="00B97216"/>
    <w:rsid w:val="00BA109A"/>
    <w:rsid w:val="00BA3314"/>
    <w:rsid w:val="00BA4427"/>
    <w:rsid w:val="00BA58DB"/>
    <w:rsid w:val="00BA5E7A"/>
    <w:rsid w:val="00BA619D"/>
    <w:rsid w:val="00BA6989"/>
    <w:rsid w:val="00BA7113"/>
    <w:rsid w:val="00BB0086"/>
    <w:rsid w:val="00BB3808"/>
    <w:rsid w:val="00BB4A82"/>
    <w:rsid w:val="00BB53FD"/>
    <w:rsid w:val="00BB5601"/>
    <w:rsid w:val="00BB5B2E"/>
    <w:rsid w:val="00BB617D"/>
    <w:rsid w:val="00BB6222"/>
    <w:rsid w:val="00BB69F6"/>
    <w:rsid w:val="00BB6AD2"/>
    <w:rsid w:val="00BB7EA2"/>
    <w:rsid w:val="00BC050B"/>
    <w:rsid w:val="00BC267C"/>
    <w:rsid w:val="00BC3331"/>
    <w:rsid w:val="00BC74D9"/>
    <w:rsid w:val="00BD044D"/>
    <w:rsid w:val="00BD1001"/>
    <w:rsid w:val="00BD24E1"/>
    <w:rsid w:val="00BD2DC4"/>
    <w:rsid w:val="00BD35C2"/>
    <w:rsid w:val="00BD5B56"/>
    <w:rsid w:val="00BD65F0"/>
    <w:rsid w:val="00BD7C95"/>
    <w:rsid w:val="00BE0FAB"/>
    <w:rsid w:val="00BE1743"/>
    <w:rsid w:val="00BE1CBD"/>
    <w:rsid w:val="00BE2D12"/>
    <w:rsid w:val="00BE390A"/>
    <w:rsid w:val="00BE3E3C"/>
    <w:rsid w:val="00BE3EC2"/>
    <w:rsid w:val="00BE481A"/>
    <w:rsid w:val="00BE4A1E"/>
    <w:rsid w:val="00BE6200"/>
    <w:rsid w:val="00BE64E2"/>
    <w:rsid w:val="00BE7C91"/>
    <w:rsid w:val="00BF1178"/>
    <w:rsid w:val="00BF256B"/>
    <w:rsid w:val="00BF27BC"/>
    <w:rsid w:val="00BF5906"/>
    <w:rsid w:val="00BF7988"/>
    <w:rsid w:val="00C00309"/>
    <w:rsid w:val="00C00CA8"/>
    <w:rsid w:val="00C018D8"/>
    <w:rsid w:val="00C0217C"/>
    <w:rsid w:val="00C030CA"/>
    <w:rsid w:val="00C031EC"/>
    <w:rsid w:val="00C0347B"/>
    <w:rsid w:val="00C039D1"/>
    <w:rsid w:val="00C03A1E"/>
    <w:rsid w:val="00C046DF"/>
    <w:rsid w:val="00C050D2"/>
    <w:rsid w:val="00C06879"/>
    <w:rsid w:val="00C07001"/>
    <w:rsid w:val="00C07654"/>
    <w:rsid w:val="00C1185D"/>
    <w:rsid w:val="00C12E92"/>
    <w:rsid w:val="00C14386"/>
    <w:rsid w:val="00C15387"/>
    <w:rsid w:val="00C1548C"/>
    <w:rsid w:val="00C169D1"/>
    <w:rsid w:val="00C20391"/>
    <w:rsid w:val="00C2068B"/>
    <w:rsid w:val="00C20900"/>
    <w:rsid w:val="00C2329D"/>
    <w:rsid w:val="00C24989"/>
    <w:rsid w:val="00C264DE"/>
    <w:rsid w:val="00C27248"/>
    <w:rsid w:val="00C2725F"/>
    <w:rsid w:val="00C2755F"/>
    <w:rsid w:val="00C3020C"/>
    <w:rsid w:val="00C313B1"/>
    <w:rsid w:val="00C324F9"/>
    <w:rsid w:val="00C33809"/>
    <w:rsid w:val="00C344A8"/>
    <w:rsid w:val="00C35774"/>
    <w:rsid w:val="00C36D0E"/>
    <w:rsid w:val="00C40440"/>
    <w:rsid w:val="00C40A94"/>
    <w:rsid w:val="00C42C9B"/>
    <w:rsid w:val="00C43CF5"/>
    <w:rsid w:val="00C4403C"/>
    <w:rsid w:val="00C45A3E"/>
    <w:rsid w:val="00C46611"/>
    <w:rsid w:val="00C46E7D"/>
    <w:rsid w:val="00C50B2D"/>
    <w:rsid w:val="00C51496"/>
    <w:rsid w:val="00C521FC"/>
    <w:rsid w:val="00C531D1"/>
    <w:rsid w:val="00C5373E"/>
    <w:rsid w:val="00C538DA"/>
    <w:rsid w:val="00C55368"/>
    <w:rsid w:val="00C55D1A"/>
    <w:rsid w:val="00C57588"/>
    <w:rsid w:val="00C57ABC"/>
    <w:rsid w:val="00C61101"/>
    <w:rsid w:val="00C61DEB"/>
    <w:rsid w:val="00C62A22"/>
    <w:rsid w:val="00C62ACA"/>
    <w:rsid w:val="00C67F4C"/>
    <w:rsid w:val="00C71449"/>
    <w:rsid w:val="00C76895"/>
    <w:rsid w:val="00C82C34"/>
    <w:rsid w:val="00C82FCD"/>
    <w:rsid w:val="00C8580E"/>
    <w:rsid w:val="00C859E4"/>
    <w:rsid w:val="00C92980"/>
    <w:rsid w:val="00C92AC5"/>
    <w:rsid w:val="00C96AFA"/>
    <w:rsid w:val="00C97F5A"/>
    <w:rsid w:val="00CA017F"/>
    <w:rsid w:val="00CA08C6"/>
    <w:rsid w:val="00CA0F05"/>
    <w:rsid w:val="00CA25B2"/>
    <w:rsid w:val="00CA2DE1"/>
    <w:rsid w:val="00CA3011"/>
    <w:rsid w:val="00CA3F37"/>
    <w:rsid w:val="00CA5099"/>
    <w:rsid w:val="00CA53A5"/>
    <w:rsid w:val="00CA53D7"/>
    <w:rsid w:val="00CA5A6E"/>
    <w:rsid w:val="00CA627F"/>
    <w:rsid w:val="00CA6D91"/>
    <w:rsid w:val="00CA6F6D"/>
    <w:rsid w:val="00CA7A15"/>
    <w:rsid w:val="00CB0503"/>
    <w:rsid w:val="00CB4538"/>
    <w:rsid w:val="00CB6205"/>
    <w:rsid w:val="00CC1C28"/>
    <w:rsid w:val="00CC2A44"/>
    <w:rsid w:val="00CC34FE"/>
    <w:rsid w:val="00CC38AA"/>
    <w:rsid w:val="00CC4B8B"/>
    <w:rsid w:val="00CC5BAA"/>
    <w:rsid w:val="00CC5DCB"/>
    <w:rsid w:val="00CC5F50"/>
    <w:rsid w:val="00CC6E18"/>
    <w:rsid w:val="00CC71DA"/>
    <w:rsid w:val="00CC7970"/>
    <w:rsid w:val="00CD0BD4"/>
    <w:rsid w:val="00CD16C6"/>
    <w:rsid w:val="00CD28B6"/>
    <w:rsid w:val="00CD4053"/>
    <w:rsid w:val="00CD4F00"/>
    <w:rsid w:val="00CD5E76"/>
    <w:rsid w:val="00CD7301"/>
    <w:rsid w:val="00CD74E0"/>
    <w:rsid w:val="00CE03DD"/>
    <w:rsid w:val="00CE08BE"/>
    <w:rsid w:val="00CE09FC"/>
    <w:rsid w:val="00CE1CB2"/>
    <w:rsid w:val="00CE1EBD"/>
    <w:rsid w:val="00CE1F3B"/>
    <w:rsid w:val="00CE33D2"/>
    <w:rsid w:val="00CE394A"/>
    <w:rsid w:val="00CE3A69"/>
    <w:rsid w:val="00CE3BB6"/>
    <w:rsid w:val="00CE40CB"/>
    <w:rsid w:val="00CE5B2B"/>
    <w:rsid w:val="00CE6B84"/>
    <w:rsid w:val="00CF0F2C"/>
    <w:rsid w:val="00CF2BDA"/>
    <w:rsid w:val="00CF32D9"/>
    <w:rsid w:val="00CF3EF6"/>
    <w:rsid w:val="00CF4F60"/>
    <w:rsid w:val="00CF62B4"/>
    <w:rsid w:val="00CF62F0"/>
    <w:rsid w:val="00CF7C06"/>
    <w:rsid w:val="00D00202"/>
    <w:rsid w:val="00D00346"/>
    <w:rsid w:val="00D011A0"/>
    <w:rsid w:val="00D02095"/>
    <w:rsid w:val="00D05722"/>
    <w:rsid w:val="00D058BB"/>
    <w:rsid w:val="00D05F8B"/>
    <w:rsid w:val="00D1061B"/>
    <w:rsid w:val="00D10FD0"/>
    <w:rsid w:val="00D110E0"/>
    <w:rsid w:val="00D13187"/>
    <w:rsid w:val="00D149CA"/>
    <w:rsid w:val="00D14A6D"/>
    <w:rsid w:val="00D14C34"/>
    <w:rsid w:val="00D15517"/>
    <w:rsid w:val="00D15810"/>
    <w:rsid w:val="00D16716"/>
    <w:rsid w:val="00D16A4B"/>
    <w:rsid w:val="00D1729B"/>
    <w:rsid w:val="00D177FD"/>
    <w:rsid w:val="00D20A6A"/>
    <w:rsid w:val="00D21038"/>
    <w:rsid w:val="00D22ADF"/>
    <w:rsid w:val="00D23124"/>
    <w:rsid w:val="00D234FB"/>
    <w:rsid w:val="00D257CC"/>
    <w:rsid w:val="00D25F58"/>
    <w:rsid w:val="00D266E0"/>
    <w:rsid w:val="00D266EA"/>
    <w:rsid w:val="00D26B7B"/>
    <w:rsid w:val="00D27283"/>
    <w:rsid w:val="00D27516"/>
    <w:rsid w:val="00D31E3C"/>
    <w:rsid w:val="00D33380"/>
    <w:rsid w:val="00D33F1B"/>
    <w:rsid w:val="00D3463C"/>
    <w:rsid w:val="00D3546A"/>
    <w:rsid w:val="00D356D5"/>
    <w:rsid w:val="00D35813"/>
    <w:rsid w:val="00D36688"/>
    <w:rsid w:val="00D40216"/>
    <w:rsid w:val="00D40FC5"/>
    <w:rsid w:val="00D41606"/>
    <w:rsid w:val="00D456FD"/>
    <w:rsid w:val="00D45E51"/>
    <w:rsid w:val="00D46772"/>
    <w:rsid w:val="00D4693B"/>
    <w:rsid w:val="00D50D5A"/>
    <w:rsid w:val="00D51AD7"/>
    <w:rsid w:val="00D53C7E"/>
    <w:rsid w:val="00D54814"/>
    <w:rsid w:val="00D55BAF"/>
    <w:rsid w:val="00D57D30"/>
    <w:rsid w:val="00D60E97"/>
    <w:rsid w:val="00D60EB4"/>
    <w:rsid w:val="00D624A5"/>
    <w:rsid w:val="00D62998"/>
    <w:rsid w:val="00D644F6"/>
    <w:rsid w:val="00D644FF"/>
    <w:rsid w:val="00D646B0"/>
    <w:rsid w:val="00D64B9F"/>
    <w:rsid w:val="00D64D7F"/>
    <w:rsid w:val="00D651A4"/>
    <w:rsid w:val="00D67367"/>
    <w:rsid w:val="00D67626"/>
    <w:rsid w:val="00D709AB"/>
    <w:rsid w:val="00D721AC"/>
    <w:rsid w:val="00D72909"/>
    <w:rsid w:val="00D7404E"/>
    <w:rsid w:val="00D7492B"/>
    <w:rsid w:val="00D75D21"/>
    <w:rsid w:val="00D774AD"/>
    <w:rsid w:val="00D82092"/>
    <w:rsid w:val="00D8237D"/>
    <w:rsid w:val="00D82BED"/>
    <w:rsid w:val="00D83681"/>
    <w:rsid w:val="00D850E4"/>
    <w:rsid w:val="00D85202"/>
    <w:rsid w:val="00D861A4"/>
    <w:rsid w:val="00D86BCA"/>
    <w:rsid w:val="00D8759F"/>
    <w:rsid w:val="00D903BD"/>
    <w:rsid w:val="00D90D6B"/>
    <w:rsid w:val="00D91BEE"/>
    <w:rsid w:val="00D931F6"/>
    <w:rsid w:val="00D94592"/>
    <w:rsid w:val="00D945C4"/>
    <w:rsid w:val="00D954D9"/>
    <w:rsid w:val="00D9641E"/>
    <w:rsid w:val="00DA0166"/>
    <w:rsid w:val="00DA0B2C"/>
    <w:rsid w:val="00DA147C"/>
    <w:rsid w:val="00DA16E0"/>
    <w:rsid w:val="00DA3EAA"/>
    <w:rsid w:val="00DA474F"/>
    <w:rsid w:val="00DA4C87"/>
    <w:rsid w:val="00DA55A6"/>
    <w:rsid w:val="00DA6DA1"/>
    <w:rsid w:val="00DA7930"/>
    <w:rsid w:val="00DB020C"/>
    <w:rsid w:val="00DB1687"/>
    <w:rsid w:val="00DB1C84"/>
    <w:rsid w:val="00DB1F3D"/>
    <w:rsid w:val="00DB3A2B"/>
    <w:rsid w:val="00DB63A4"/>
    <w:rsid w:val="00DB7652"/>
    <w:rsid w:val="00DB7B53"/>
    <w:rsid w:val="00DB7B66"/>
    <w:rsid w:val="00DB7F69"/>
    <w:rsid w:val="00DC03EE"/>
    <w:rsid w:val="00DC0A51"/>
    <w:rsid w:val="00DC1864"/>
    <w:rsid w:val="00DC3D00"/>
    <w:rsid w:val="00DC40B8"/>
    <w:rsid w:val="00DC40F8"/>
    <w:rsid w:val="00DC4272"/>
    <w:rsid w:val="00DC5751"/>
    <w:rsid w:val="00DC6A41"/>
    <w:rsid w:val="00DC7E75"/>
    <w:rsid w:val="00DD0487"/>
    <w:rsid w:val="00DD1C47"/>
    <w:rsid w:val="00DD1C56"/>
    <w:rsid w:val="00DD258B"/>
    <w:rsid w:val="00DD3D7E"/>
    <w:rsid w:val="00DD452B"/>
    <w:rsid w:val="00DD4D11"/>
    <w:rsid w:val="00DD5041"/>
    <w:rsid w:val="00DD5F4A"/>
    <w:rsid w:val="00DD61F6"/>
    <w:rsid w:val="00DD6392"/>
    <w:rsid w:val="00DD6454"/>
    <w:rsid w:val="00DE1267"/>
    <w:rsid w:val="00DE248E"/>
    <w:rsid w:val="00DE24C4"/>
    <w:rsid w:val="00DE26E2"/>
    <w:rsid w:val="00DE33B8"/>
    <w:rsid w:val="00DE4681"/>
    <w:rsid w:val="00DE54AF"/>
    <w:rsid w:val="00DE5F2D"/>
    <w:rsid w:val="00DE6B4C"/>
    <w:rsid w:val="00DF0D0E"/>
    <w:rsid w:val="00DF14AE"/>
    <w:rsid w:val="00DF1DA2"/>
    <w:rsid w:val="00DF1EB4"/>
    <w:rsid w:val="00DF2BF4"/>
    <w:rsid w:val="00DF3FF2"/>
    <w:rsid w:val="00DF6AD2"/>
    <w:rsid w:val="00E001FB"/>
    <w:rsid w:val="00E003BF"/>
    <w:rsid w:val="00E003FD"/>
    <w:rsid w:val="00E00BC9"/>
    <w:rsid w:val="00E00D33"/>
    <w:rsid w:val="00E01740"/>
    <w:rsid w:val="00E042A8"/>
    <w:rsid w:val="00E06171"/>
    <w:rsid w:val="00E0674E"/>
    <w:rsid w:val="00E10F88"/>
    <w:rsid w:val="00E10F8C"/>
    <w:rsid w:val="00E11029"/>
    <w:rsid w:val="00E12307"/>
    <w:rsid w:val="00E12660"/>
    <w:rsid w:val="00E128A9"/>
    <w:rsid w:val="00E12C02"/>
    <w:rsid w:val="00E12EDD"/>
    <w:rsid w:val="00E1371D"/>
    <w:rsid w:val="00E13955"/>
    <w:rsid w:val="00E1439E"/>
    <w:rsid w:val="00E1453A"/>
    <w:rsid w:val="00E1497E"/>
    <w:rsid w:val="00E163C0"/>
    <w:rsid w:val="00E1651E"/>
    <w:rsid w:val="00E167A8"/>
    <w:rsid w:val="00E1695F"/>
    <w:rsid w:val="00E17357"/>
    <w:rsid w:val="00E20468"/>
    <w:rsid w:val="00E20F76"/>
    <w:rsid w:val="00E22ECF"/>
    <w:rsid w:val="00E2364E"/>
    <w:rsid w:val="00E24382"/>
    <w:rsid w:val="00E253CF"/>
    <w:rsid w:val="00E259F7"/>
    <w:rsid w:val="00E26262"/>
    <w:rsid w:val="00E27120"/>
    <w:rsid w:val="00E278F6"/>
    <w:rsid w:val="00E320CA"/>
    <w:rsid w:val="00E335D8"/>
    <w:rsid w:val="00E3475A"/>
    <w:rsid w:val="00E36326"/>
    <w:rsid w:val="00E37794"/>
    <w:rsid w:val="00E37E6B"/>
    <w:rsid w:val="00E40B94"/>
    <w:rsid w:val="00E422E6"/>
    <w:rsid w:val="00E4325A"/>
    <w:rsid w:val="00E43A52"/>
    <w:rsid w:val="00E46110"/>
    <w:rsid w:val="00E46ACD"/>
    <w:rsid w:val="00E47521"/>
    <w:rsid w:val="00E51406"/>
    <w:rsid w:val="00E51C34"/>
    <w:rsid w:val="00E52EE5"/>
    <w:rsid w:val="00E53531"/>
    <w:rsid w:val="00E5474B"/>
    <w:rsid w:val="00E54E34"/>
    <w:rsid w:val="00E5671D"/>
    <w:rsid w:val="00E60037"/>
    <w:rsid w:val="00E605DB"/>
    <w:rsid w:val="00E60777"/>
    <w:rsid w:val="00E615B9"/>
    <w:rsid w:val="00E6289D"/>
    <w:rsid w:val="00E62C9C"/>
    <w:rsid w:val="00E653B6"/>
    <w:rsid w:val="00E66BCC"/>
    <w:rsid w:val="00E672CC"/>
    <w:rsid w:val="00E70107"/>
    <w:rsid w:val="00E70220"/>
    <w:rsid w:val="00E7022F"/>
    <w:rsid w:val="00E7291D"/>
    <w:rsid w:val="00E73799"/>
    <w:rsid w:val="00E74112"/>
    <w:rsid w:val="00E7418D"/>
    <w:rsid w:val="00E76EFC"/>
    <w:rsid w:val="00E80B4E"/>
    <w:rsid w:val="00E80EDC"/>
    <w:rsid w:val="00E813EC"/>
    <w:rsid w:val="00E81F55"/>
    <w:rsid w:val="00E8209E"/>
    <w:rsid w:val="00E8423C"/>
    <w:rsid w:val="00E85FDB"/>
    <w:rsid w:val="00E86597"/>
    <w:rsid w:val="00E919A3"/>
    <w:rsid w:val="00E946CB"/>
    <w:rsid w:val="00E949EA"/>
    <w:rsid w:val="00E9597F"/>
    <w:rsid w:val="00E96FA0"/>
    <w:rsid w:val="00E97086"/>
    <w:rsid w:val="00E975EA"/>
    <w:rsid w:val="00E97AB9"/>
    <w:rsid w:val="00E97ABB"/>
    <w:rsid w:val="00EA00B6"/>
    <w:rsid w:val="00EA3B71"/>
    <w:rsid w:val="00EA4984"/>
    <w:rsid w:val="00EA4CFC"/>
    <w:rsid w:val="00EA6B3F"/>
    <w:rsid w:val="00EA7EF6"/>
    <w:rsid w:val="00EB09F1"/>
    <w:rsid w:val="00EB1809"/>
    <w:rsid w:val="00EB332C"/>
    <w:rsid w:val="00EB36A0"/>
    <w:rsid w:val="00EB4248"/>
    <w:rsid w:val="00EB75EA"/>
    <w:rsid w:val="00EC0C29"/>
    <w:rsid w:val="00EC142A"/>
    <w:rsid w:val="00EC2995"/>
    <w:rsid w:val="00EC3EE1"/>
    <w:rsid w:val="00EC4981"/>
    <w:rsid w:val="00EC4ABA"/>
    <w:rsid w:val="00EC4BAC"/>
    <w:rsid w:val="00EC5BC1"/>
    <w:rsid w:val="00EC5C61"/>
    <w:rsid w:val="00EC6905"/>
    <w:rsid w:val="00ED06E8"/>
    <w:rsid w:val="00ED15DF"/>
    <w:rsid w:val="00ED2F08"/>
    <w:rsid w:val="00ED3556"/>
    <w:rsid w:val="00ED4552"/>
    <w:rsid w:val="00ED494F"/>
    <w:rsid w:val="00ED4D08"/>
    <w:rsid w:val="00ED4FA0"/>
    <w:rsid w:val="00ED5C7A"/>
    <w:rsid w:val="00ED6AED"/>
    <w:rsid w:val="00ED74AC"/>
    <w:rsid w:val="00ED79B4"/>
    <w:rsid w:val="00ED7B01"/>
    <w:rsid w:val="00EE03F7"/>
    <w:rsid w:val="00EE07C3"/>
    <w:rsid w:val="00EE22F0"/>
    <w:rsid w:val="00EE261F"/>
    <w:rsid w:val="00EE2967"/>
    <w:rsid w:val="00EE3991"/>
    <w:rsid w:val="00EE4307"/>
    <w:rsid w:val="00EF50AE"/>
    <w:rsid w:val="00EF574E"/>
    <w:rsid w:val="00EF5F02"/>
    <w:rsid w:val="00EF6B1A"/>
    <w:rsid w:val="00EF7803"/>
    <w:rsid w:val="00F00BE0"/>
    <w:rsid w:val="00F00EFE"/>
    <w:rsid w:val="00F01BB6"/>
    <w:rsid w:val="00F03917"/>
    <w:rsid w:val="00F07936"/>
    <w:rsid w:val="00F101B2"/>
    <w:rsid w:val="00F10268"/>
    <w:rsid w:val="00F104FF"/>
    <w:rsid w:val="00F1193E"/>
    <w:rsid w:val="00F12A68"/>
    <w:rsid w:val="00F13022"/>
    <w:rsid w:val="00F133D9"/>
    <w:rsid w:val="00F13ACA"/>
    <w:rsid w:val="00F13CFE"/>
    <w:rsid w:val="00F160F5"/>
    <w:rsid w:val="00F16DB6"/>
    <w:rsid w:val="00F172E1"/>
    <w:rsid w:val="00F1748F"/>
    <w:rsid w:val="00F20362"/>
    <w:rsid w:val="00F21249"/>
    <w:rsid w:val="00F228FE"/>
    <w:rsid w:val="00F22FB6"/>
    <w:rsid w:val="00F230D5"/>
    <w:rsid w:val="00F24431"/>
    <w:rsid w:val="00F255B4"/>
    <w:rsid w:val="00F25C0E"/>
    <w:rsid w:val="00F268D1"/>
    <w:rsid w:val="00F27320"/>
    <w:rsid w:val="00F309F6"/>
    <w:rsid w:val="00F3124B"/>
    <w:rsid w:val="00F31758"/>
    <w:rsid w:val="00F352C5"/>
    <w:rsid w:val="00F3635A"/>
    <w:rsid w:val="00F374DA"/>
    <w:rsid w:val="00F408EF"/>
    <w:rsid w:val="00F42BAF"/>
    <w:rsid w:val="00F436FE"/>
    <w:rsid w:val="00F44544"/>
    <w:rsid w:val="00F45089"/>
    <w:rsid w:val="00F4571F"/>
    <w:rsid w:val="00F46334"/>
    <w:rsid w:val="00F51427"/>
    <w:rsid w:val="00F51464"/>
    <w:rsid w:val="00F51BB1"/>
    <w:rsid w:val="00F51D67"/>
    <w:rsid w:val="00F53196"/>
    <w:rsid w:val="00F53A77"/>
    <w:rsid w:val="00F548E4"/>
    <w:rsid w:val="00F56484"/>
    <w:rsid w:val="00F5703A"/>
    <w:rsid w:val="00F625F1"/>
    <w:rsid w:val="00F62B12"/>
    <w:rsid w:val="00F647E2"/>
    <w:rsid w:val="00F655BD"/>
    <w:rsid w:val="00F65603"/>
    <w:rsid w:val="00F659E8"/>
    <w:rsid w:val="00F66756"/>
    <w:rsid w:val="00F70CCC"/>
    <w:rsid w:val="00F73A67"/>
    <w:rsid w:val="00F73F2D"/>
    <w:rsid w:val="00F7410D"/>
    <w:rsid w:val="00F74B3E"/>
    <w:rsid w:val="00F807A4"/>
    <w:rsid w:val="00F81E7E"/>
    <w:rsid w:val="00F822CB"/>
    <w:rsid w:val="00F8237D"/>
    <w:rsid w:val="00F82821"/>
    <w:rsid w:val="00F82CCA"/>
    <w:rsid w:val="00F83389"/>
    <w:rsid w:val="00F8386A"/>
    <w:rsid w:val="00F8492D"/>
    <w:rsid w:val="00F87484"/>
    <w:rsid w:val="00F90604"/>
    <w:rsid w:val="00F92323"/>
    <w:rsid w:val="00F925C4"/>
    <w:rsid w:val="00F9544F"/>
    <w:rsid w:val="00F97199"/>
    <w:rsid w:val="00F97DD2"/>
    <w:rsid w:val="00FA0146"/>
    <w:rsid w:val="00FA0EA4"/>
    <w:rsid w:val="00FA17A3"/>
    <w:rsid w:val="00FA32D0"/>
    <w:rsid w:val="00FA69E1"/>
    <w:rsid w:val="00FB10D7"/>
    <w:rsid w:val="00FB2212"/>
    <w:rsid w:val="00FB47D5"/>
    <w:rsid w:val="00FB5310"/>
    <w:rsid w:val="00FB7CEB"/>
    <w:rsid w:val="00FC0382"/>
    <w:rsid w:val="00FC06D2"/>
    <w:rsid w:val="00FC12E0"/>
    <w:rsid w:val="00FC1E46"/>
    <w:rsid w:val="00FC2E6F"/>
    <w:rsid w:val="00FC2FAB"/>
    <w:rsid w:val="00FC4FBD"/>
    <w:rsid w:val="00FC5934"/>
    <w:rsid w:val="00FD21DA"/>
    <w:rsid w:val="00FD21EC"/>
    <w:rsid w:val="00FD2E75"/>
    <w:rsid w:val="00FD386A"/>
    <w:rsid w:val="00FD3B74"/>
    <w:rsid w:val="00FD4D79"/>
    <w:rsid w:val="00FD5017"/>
    <w:rsid w:val="00FD536A"/>
    <w:rsid w:val="00FD60DD"/>
    <w:rsid w:val="00FD62E0"/>
    <w:rsid w:val="00FD777D"/>
    <w:rsid w:val="00FD7EF8"/>
    <w:rsid w:val="00FE14AB"/>
    <w:rsid w:val="00FE2416"/>
    <w:rsid w:val="00FE2EF1"/>
    <w:rsid w:val="00FE51C5"/>
    <w:rsid w:val="00FE5850"/>
    <w:rsid w:val="00FE640D"/>
    <w:rsid w:val="00FE70BD"/>
    <w:rsid w:val="00FE7578"/>
    <w:rsid w:val="00FF13E2"/>
    <w:rsid w:val="00FF1D84"/>
    <w:rsid w:val="00FF1EF8"/>
    <w:rsid w:val="00FF4BB2"/>
    <w:rsid w:val="00FF6C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565E"/>
    <w:pPr>
      <w:spacing w:after="200" w:line="276" w:lineRule="auto"/>
    </w:pPr>
    <w:rPr>
      <w:rFonts w:ascii="CG Times" w:hAnsi="CG Times"/>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2F76"/>
    <w:pPr>
      <w:ind w:left="720"/>
      <w:contextualSpacing/>
    </w:pPr>
  </w:style>
  <w:style w:type="paragraph" w:styleId="Testonotaapidipagina">
    <w:name w:val="footnote text"/>
    <w:basedOn w:val="Normale"/>
    <w:link w:val="TestonotaapidipaginaCarattere"/>
    <w:uiPriority w:val="99"/>
    <w:semiHidden/>
    <w:unhideWhenUsed/>
    <w:rsid w:val="00A5499C"/>
    <w:rPr>
      <w:sz w:val="20"/>
      <w:szCs w:val="20"/>
    </w:rPr>
  </w:style>
  <w:style w:type="character" w:customStyle="1" w:styleId="TestonotaapidipaginaCarattere">
    <w:name w:val="Testo nota a piè di pagina Carattere"/>
    <w:basedOn w:val="Carpredefinitoparagrafo"/>
    <w:link w:val="Testonotaapidipagina"/>
    <w:uiPriority w:val="99"/>
    <w:semiHidden/>
    <w:rsid w:val="00A5499C"/>
    <w:rPr>
      <w:rFonts w:ascii="CG Times" w:hAnsi="CG Times"/>
      <w:lang w:eastAsia="en-US"/>
    </w:rPr>
  </w:style>
  <w:style w:type="character" w:styleId="Rimandonotaapidipagina">
    <w:name w:val="footnote reference"/>
    <w:basedOn w:val="Carpredefinitoparagrafo"/>
    <w:uiPriority w:val="99"/>
    <w:semiHidden/>
    <w:unhideWhenUsed/>
    <w:rsid w:val="00A5499C"/>
    <w:rPr>
      <w:vertAlign w:val="superscript"/>
    </w:rPr>
  </w:style>
  <w:style w:type="character" w:styleId="Rimandocommento">
    <w:name w:val="annotation reference"/>
    <w:basedOn w:val="Carpredefinitoparagrafo"/>
    <w:uiPriority w:val="99"/>
    <w:semiHidden/>
    <w:unhideWhenUsed/>
    <w:rsid w:val="00560BDA"/>
    <w:rPr>
      <w:sz w:val="16"/>
      <w:szCs w:val="16"/>
    </w:rPr>
  </w:style>
  <w:style w:type="paragraph" w:styleId="Testocommento">
    <w:name w:val="annotation text"/>
    <w:basedOn w:val="Normale"/>
    <w:link w:val="TestocommentoCarattere"/>
    <w:uiPriority w:val="99"/>
    <w:semiHidden/>
    <w:unhideWhenUsed/>
    <w:rsid w:val="00560BDA"/>
    <w:rPr>
      <w:sz w:val="20"/>
      <w:szCs w:val="20"/>
    </w:rPr>
  </w:style>
  <w:style w:type="character" w:customStyle="1" w:styleId="TestocommentoCarattere">
    <w:name w:val="Testo commento Carattere"/>
    <w:basedOn w:val="Carpredefinitoparagrafo"/>
    <w:link w:val="Testocommento"/>
    <w:uiPriority w:val="99"/>
    <w:semiHidden/>
    <w:rsid w:val="00560BDA"/>
    <w:rPr>
      <w:rFonts w:ascii="CG Times" w:hAnsi="CG Times"/>
      <w:lang w:eastAsia="en-US"/>
    </w:rPr>
  </w:style>
  <w:style w:type="paragraph" w:styleId="Soggettocommento">
    <w:name w:val="annotation subject"/>
    <w:basedOn w:val="Testocommento"/>
    <w:next w:val="Testocommento"/>
    <w:link w:val="SoggettocommentoCarattere"/>
    <w:uiPriority w:val="99"/>
    <w:semiHidden/>
    <w:unhideWhenUsed/>
    <w:rsid w:val="00560BDA"/>
    <w:rPr>
      <w:b/>
      <w:bCs/>
    </w:rPr>
  </w:style>
  <w:style w:type="character" w:customStyle="1" w:styleId="SoggettocommentoCarattere">
    <w:name w:val="Soggetto commento Carattere"/>
    <w:basedOn w:val="TestocommentoCarattere"/>
    <w:link w:val="Soggettocommento"/>
    <w:uiPriority w:val="99"/>
    <w:semiHidden/>
    <w:rsid w:val="00560BDA"/>
    <w:rPr>
      <w:b/>
      <w:bCs/>
    </w:rPr>
  </w:style>
  <w:style w:type="paragraph" w:styleId="Testofumetto">
    <w:name w:val="Balloon Text"/>
    <w:basedOn w:val="Normale"/>
    <w:link w:val="TestofumettoCarattere"/>
    <w:uiPriority w:val="99"/>
    <w:semiHidden/>
    <w:unhideWhenUsed/>
    <w:rsid w:val="00560B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0BD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8306037">
      <w:bodyDiv w:val="1"/>
      <w:marLeft w:val="0"/>
      <w:marRight w:val="0"/>
      <w:marTop w:val="0"/>
      <w:marBottom w:val="0"/>
      <w:divBdr>
        <w:top w:val="none" w:sz="0" w:space="0" w:color="auto"/>
        <w:left w:val="none" w:sz="0" w:space="0" w:color="auto"/>
        <w:bottom w:val="none" w:sz="0" w:space="0" w:color="auto"/>
        <w:right w:val="none" w:sz="0" w:space="0" w:color="auto"/>
      </w:divBdr>
      <w:divsChild>
        <w:div w:id="311645196">
          <w:marLeft w:val="547"/>
          <w:marRight w:val="0"/>
          <w:marTop w:val="115"/>
          <w:marBottom w:val="0"/>
          <w:divBdr>
            <w:top w:val="none" w:sz="0" w:space="0" w:color="auto"/>
            <w:left w:val="none" w:sz="0" w:space="0" w:color="auto"/>
            <w:bottom w:val="none" w:sz="0" w:space="0" w:color="auto"/>
            <w:right w:val="none" w:sz="0" w:space="0" w:color="auto"/>
          </w:divBdr>
        </w:div>
        <w:div w:id="1665667709">
          <w:marLeft w:val="1166"/>
          <w:marRight w:val="0"/>
          <w:marTop w:val="96"/>
          <w:marBottom w:val="0"/>
          <w:divBdr>
            <w:top w:val="none" w:sz="0" w:space="0" w:color="auto"/>
            <w:left w:val="none" w:sz="0" w:space="0" w:color="auto"/>
            <w:bottom w:val="none" w:sz="0" w:space="0" w:color="auto"/>
            <w:right w:val="none" w:sz="0" w:space="0" w:color="auto"/>
          </w:divBdr>
        </w:div>
        <w:div w:id="1114405455">
          <w:marLeft w:val="1166"/>
          <w:marRight w:val="0"/>
          <w:marTop w:val="96"/>
          <w:marBottom w:val="0"/>
          <w:divBdr>
            <w:top w:val="none" w:sz="0" w:space="0" w:color="auto"/>
            <w:left w:val="none" w:sz="0" w:space="0" w:color="auto"/>
            <w:bottom w:val="none" w:sz="0" w:space="0" w:color="auto"/>
            <w:right w:val="none" w:sz="0" w:space="0" w:color="auto"/>
          </w:divBdr>
        </w:div>
        <w:div w:id="1192180610">
          <w:marLeft w:val="547"/>
          <w:marRight w:val="0"/>
          <w:marTop w:val="115"/>
          <w:marBottom w:val="0"/>
          <w:divBdr>
            <w:top w:val="none" w:sz="0" w:space="0" w:color="auto"/>
            <w:left w:val="none" w:sz="0" w:space="0" w:color="auto"/>
            <w:bottom w:val="none" w:sz="0" w:space="0" w:color="auto"/>
            <w:right w:val="none" w:sz="0" w:space="0" w:color="auto"/>
          </w:divBdr>
        </w:div>
        <w:div w:id="381294613">
          <w:marLeft w:val="547"/>
          <w:marRight w:val="0"/>
          <w:marTop w:val="115"/>
          <w:marBottom w:val="0"/>
          <w:divBdr>
            <w:top w:val="none" w:sz="0" w:space="0" w:color="auto"/>
            <w:left w:val="none" w:sz="0" w:space="0" w:color="auto"/>
            <w:bottom w:val="none" w:sz="0" w:space="0" w:color="auto"/>
            <w:right w:val="none" w:sz="0" w:space="0" w:color="auto"/>
          </w:divBdr>
        </w:div>
        <w:div w:id="2057657111">
          <w:marLeft w:val="547"/>
          <w:marRight w:val="0"/>
          <w:marTop w:val="115"/>
          <w:marBottom w:val="0"/>
          <w:divBdr>
            <w:top w:val="none" w:sz="0" w:space="0" w:color="auto"/>
            <w:left w:val="none" w:sz="0" w:space="0" w:color="auto"/>
            <w:bottom w:val="none" w:sz="0" w:space="0" w:color="auto"/>
            <w:right w:val="none" w:sz="0" w:space="0" w:color="auto"/>
          </w:divBdr>
        </w:div>
        <w:div w:id="295331219">
          <w:marLeft w:val="547"/>
          <w:marRight w:val="0"/>
          <w:marTop w:val="115"/>
          <w:marBottom w:val="0"/>
          <w:divBdr>
            <w:top w:val="none" w:sz="0" w:space="0" w:color="auto"/>
            <w:left w:val="none" w:sz="0" w:space="0" w:color="auto"/>
            <w:bottom w:val="none" w:sz="0" w:space="0" w:color="auto"/>
            <w:right w:val="none" w:sz="0" w:space="0" w:color="auto"/>
          </w:divBdr>
        </w:div>
        <w:div w:id="1744332487">
          <w:marLeft w:val="547"/>
          <w:marRight w:val="0"/>
          <w:marTop w:val="106"/>
          <w:marBottom w:val="0"/>
          <w:divBdr>
            <w:top w:val="none" w:sz="0" w:space="0" w:color="auto"/>
            <w:left w:val="none" w:sz="0" w:space="0" w:color="auto"/>
            <w:bottom w:val="none" w:sz="0" w:space="0" w:color="auto"/>
            <w:right w:val="none" w:sz="0" w:space="0" w:color="auto"/>
          </w:divBdr>
        </w:div>
      </w:divsChild>
    </w:div>
    <w:div w:id="134879888">
      <w:bodyDiv w:val="1"/>
      <w:marLeft w:val="0"/>
      <w:marRight w:val="0"/>
      <w:marTop w:val="0"/>
      <w:marBottom w:val="0"/>
      <w:divBdr>
        <w:top w:val="none" w:sz="0" w:space="0" w:color="auto"/>
        <w:left w:val="none" w:sz="0" w:space="0" w:color="auto"/>
        <w:bottom w:val="none" w:sz="0" w:space="0" w:color="auto"/>
        <w:right w:val="none" w:sz="0" w:space="0" w:color="auto"/>
      </w:divBdr>
      <w:divsChild>
        <w:div w:id="427971531">
          <w:marLeft w:val="1483"/>
          <w:marRight w:val="0"/>
          <w:marTop w:val="125"/>
          <w:marBottom w:val="0"/>
          <w:divBdr>
            <w:top w:val="none" w:sz="0" w:space="0" w:color="auto"/>
            <w:left w:val="none" w:sz="0" w:space="0" w:color="auto"/>
            <w:bottom w:val="none" w:sz="0" w:space="0" w:color="auto"/>
            <w:right w:val="none" w:sz="0" w:space="0" w:color="auto"/>
          </w:divBdr>
        </w:div>
        <w:div w:id="514003809">
          <w:marLeft w:val="1483"/>
          <w:marRight w:val="0"/>
          <w:marTop w:val="125"/>
          <w:marBottom w:val="0"/>
          <w:divBdr>
            <w:top w:val="none" w:sz="0" w:space="0" w:color="auto"/>
            <w:left w:val="none" w:sz="0" w:space="0" w:color="auto"/>
            <w:bottom w:val="none" w:sz="0" w:space="0" w:color="auto"/>
            <w:right w:val="none" w:sz="0" w:space="0" w:color="auto"/>
          </w:divBdr>
        </w:div>
        <w:div w:id="655229282">
          <w:marLeft w:val="1483"/>
          <w:marRight w:val="0"/>
          <w:marTop w:val="125"/>
          <w:marBottom w:val="0"/>
          <w:divBdr>
            <w:top w:val="none" w:sz="0" w:space="0" w:color="auto"/>
            <w:left w:val="none" w:sz="0" w:space="0" w:color="auto"/>
            <w:bottom w:val="none" w:sz="0" w:space="0" w:color="auto"/>
            <w:right w:val="none" w:sz="0" w:space="0" w:color="auto"/>
          </w:divBdr>
        </w:div>
        <w:div w:id="1494904937">
          <w:marLeft w:val="547"/>
          <w:marRight w:val="0"/>
          <w:marTop w:val="125"/>
          <w:marBottom w:val="0"/>
          <w:divBdr>
            <w:top w:val="none" w:sz="0" w:space="0" w:color="auto"/>
            <w:left w:val="none" w:sz="0" w:space="0" w:color="auto"/>
            <w:bottom w:val="none" w:sz="0" w:space="0" w:color="auto"/>
            <w:right w:val="none" w:sz="0" w:space="0" w:color="auto"/>
          </w:divBdr>
        </w:div>
      </w:divsChild>
    </w:div>
    <w:div w:id="259148321">
      <w:bodyDiv w:val="1"/>
      <w:marLeft w:val="0"/>
      <w:marRight w:val="0"/>
      <w:marTop w:val="0"/>
      <w:marBottom w:val="0"/>
      <w:divBdr>
        <w:top w:val="none" w:sz="0" w:space="0" w:color="auto"/>
        <w:left w:val="none" w:sz="0" w:space="0" w:color="auto"/>
        <w:bottom w:val="none" w:sz="0" w:space="0" w:color="auto"/>
        <w:right w:val="none" w:sz="0" w:space="0" w:color="auto"/>
      </w:divBdr>
      <w:divsChild>
        <w:div w:id="517936026">
          <w:marLeft w:val="806"/>
          <w:marRight w:val="0"/>
          <w:marTop w:val="0"/>
          <w:marBottom w:val="0"/>
          <w:divBdr>
            <w:top w:val="none" w:sz="0" w:space="0" w:color="auto"/>
            <w:left w:val="none" w:sz="0" w:space="0" w:color="auto"/>
            <w:bottom w:val="none" w:sz="0" w:space="0" w:color="auto"/>
            <w:right w:val="none" w:sz="0" w:space="0" w:color="auto"/>
          </w:divBdr>
        </w:div>
        <w:div w:id="1320231097">
          <w:marLeft w:val="806"/>
          <w:marRight w:val="0"/>
          <w:marTop w:val="0"/>
          <w:marBottom w:val="0"/>
          <w:divBdr>
            <w:top w:val="none" w:sz="0" w:space="0" w:color="auto"/>
            <w:left w:val="none" w:sz="0" w:space="0" w:color="auto"/>
            <w:bottom w:val="none" w:sz="0" w:space="0" w:color="auto"/>
            <w:right w:val="none" w:sz="0" w:space="0" w:color="auto"/>
          </w:divBdr>
        </w:div>
        <w:div w:id="1469124431">
          <w:marLeft w:val="806"/>
          <w:marRight w:val="0"/>
          <w:marTop w:val="0"/>
          <w:marBottom w:val="0"/>
          <w:divBdr>
            <w:top w:val="none" w:sz="0" w:space="0" w:color="auto"/>
            <w:left w:val="none" w:sz="0" w:space="0" w:color="auto"/>
            <w:bottom w:val="none" w:sz="0" w:space="0" w:color="auto"/>
            <w:right w:val="none" w:sz="0" w:space="0" w:color="auto"/>
          </w:divBdr>
        </w:div>
        <w:div w:id="1639265163">
          <w:marLeft w:val="806"/>
          <w:marRight w:val="0"/>
          <w:marTop w:val="0"/>
          <w:marBottom w:val="0"/>
          <w:divBdr>
            <w:top w:val="none" w:sz="0" w:space="0" w:color="auto"/>
            <w:left w:val="none" w:sz="0" w:space="0" w:color="auto"/>
            <w:bottom w:val="none" w:sz="0" w:space="0" w:color="auto"/>
            <w:right w:val="none" w:sz="0" w:space="0" w:color="auto"/>
          </w:divBdr>
        </w:div>
        <w:div w:id="2074618969">
          <w:marLeft w:val="806"/>
          <w:marRight w:val="0"/>
          <w:marTop w:val="0"/>
          <w:marBottom w:val="0"/>
          <w:divBdr>
            <w:top w:val="none" w:sz="0" w:space="0" w:color="auto"/>
            <w:left w:val="none" w:sz="0" w:space="0" w:color="auto"/>
            <w:bottom w:val="none" w:sz="0" w:space="0" w:color="auto"/>
            <w:right w:val="none" w:sz="0" w:space="0" w:color="auto"/>
          </w:divBdr>
        </w:div>
        <w:div w:id="2133942463">
          <w:marLeft w:val="806"/>
          <w:marRight w:val="0"/>
          <w:marTop w:val="0"/>
          <w:marBottom w:val="0"/>
          <w:divBdr>
            <w:top w:val="none" w:sz="0" w:space="0" w:color="auto"/>
            <w:left w:val="none" w:sz="0" w:space="0" w:color="auto"/>
            <w:bottom w:val="none" w:sz="0" w:space="0" w:color="auto"/>
            <w:right w:val="none" w:sz="0" w:space="0" w:color="auto"/>
          </w:divBdr>
        </w:div>
      </w:divsChild>
    </w:div>
    <w:div w:id="477697806">
      <w:bodyDiv w:val="1"/>
      <w:marLeft w:val="0"/>
      <w:marRight w:val="0"/>
      <w:marTop w:val="0"/>
      <w:marBottom w:val="0"/>
      <w:divBdr>
        <w:top w:val="none" w:sz="0" w:space="0" w:color="auto"/>
        <w:left w:val="none" w:sz="0" w:space="0" w:color="auto"/>
        <w:bottom w:val="none" w:sz="0" w:space="0" w:color="auto"/>
        <w:right w:val="none" w:sz="0" w:space="0" w:color="auto"/>
      </w:divBdr>
      <w:divsChild>
        <w:div w:id="1726022640">
          <w:marLeft w:val="547"/>
          <w:marRight w:val="0"/>
          <w:marTop w:val="110"/>
          <w:marBottom w:val="0"/>
          <w:divBdr>
            <w:top w:val="none" w:sz="0" w:space="0" w:color="auto"/>
            <w:left w:val="none" w:sz="0" w:space="0" w:color="auto"/>
            <w:bottom w:val="none" w:sz="0" w:space="0" w:color="auto"/>
            <w:right w:val="none" w:sz="0" w:space="0" w:color="auto"/>
          </w:divBdr>
        </w:div>
        <w:div w:id="119304414">
          <w:marLeft w:val="547"/>
          <w:marRight w:val="0"/>
          <w:marTop w:val="110"/>
          <w:marBottom w:val="0"/>
          <w:divBdr>
            <w:top w:val="none" w:sz="0" w:space="0" w:color="auto"/>
            <w:left w:val="none" w:sz="0" w:space="0" w:color="auto"/>
            <w:bottom w:val="none" w:sz="0" w:space="0" w:color="auto"/>
            <w:right w:val="none" w:sz="0" w:space="0" w:color="auto"/>
          </w:divBdr>
        </w:div>
        <w:div w:id="360014647">
          <w:marLeft w:val="547"/>
          <w:marRight w:val="0"/>
          <w:marTop w:val="110"/>
          <w:marBottom w:val="0"/>
          <w:divBdr>
            <w:top w:val="none" w:sz="0" w:space="0" w:color="auto"/>
            <w:left w:val="none" w:sz="0" w:space="0" w:color="auto"/>
            <w:bottom w:val="none" w:sz="0" w:space="0" w:color="auto"/>
            <w:right w:val="none" w:sz="0" w:space="0" w:color="auto"/>
          </w:divBdr>
        </w:div>
        <w:div w:id="1658874372">
          <w:marLeft w:val="547"/>
          <w:marRight w:val="0"/>
          <w:marTop w:val="110"/>
          <w:marBottom w:val="0"/>
          <w:divBdr>
            <w:top w:val="none" w:sz="0" w:space="0" w:color="auto"/>
            <w:left w:val="none" w:sz="0" w:space="0" w:color="auto"/>
            <w:bottom w:val="none" w:sz="0" w:space="0" w:color="auto"/>
            <w:right w:val="none" w:sz="0" w:space="0" w:color="auto"/>
          </w:divBdr>
        </w:div>
        <w:div w:id="872763241">
          <w:marLeft w:val="547"/>
          <w:marRight w:val="0"/>
          <w:marTop w:val="110"/>
          <w:marBottom w:val="0"/>
          <w:divBdr>
            <w:top w:val="none" w:sz="0" w:space="0" w:color="auto"/>
            <w:left w:val="none" w:sz="0" w:space="0" w:color="auto"/>
            <w:bottom w:val="none" w:sz="0" w:space="0" w:color="auto"/>
            <w:right w:val="none" w:sz="0" w:space="0" w:color="auto"/>
          </w:divBdr>
        </w:div>
      </w:divsChild>
    </w:div>
    <w:div w:id="479810457">
      <w:bodyDiv w:val="1"/>
      <w:marLeft w:val="0"/>
      <w:marRight w:val="0"/>
      <w:marTop w:val="0"/>
      <w:marBottom w:val="0"/>
      <w:divBdr>
        <w:top w:val="none" w:sz="0" w:space="0" w:color="auto"/>
        <w:left w:val="none" w:sz="0" w:space="0" w:color="auto"/>
        <w:bottom w:val="none" w:sz="0" w:space="0" w:color="auto"/>
        <w:right w:val="none" w:sz="0" w:space="0" w:color="auto"/>
      </w:divBdr>
      <w:divsChild>
        <w:div w:id="526218708">
          <w:marLeft w:val="547"/>
          <w:marRight w:val="0"/>
          <w:marTop w:val="91"/>
          <w:marBottom w:val="120"/>
          <w:divBdr>
            <w:top w:val="none" w:sz="0" w:space="0" w:color="auto"/>
            <w:left w:val="none" w:sz="0" w:space="0" w:color="auto"/>
            <w:bottom w:val="none" w:sz="0" w:space="0" w:color="auto"/>
            <w:right w:val="none" w:sz="0" w:space="0" w:color="auto"/>
          </w:divBdr>
        </w:div>
        <w:div w:id="1907840924">
          <w:marLeft w:val="1166"/>
          <w:marRight w:val="0"/>
          <w:marTop w:val="77"/>
          <w:marBottom w:val="0"/>
          <w:divBdr>
            <w:top w:val="none" w:sz="0" w:space="0" w:color="auto"/>
            <w:left w:val="none" w:sz="0" w:space="0" w:color="auto"/>
            <w:bottom w:val="none" w:sz="0" w:space="0" w:color="auto"/>
            <w:right w:val="none" w:sz="0" w:space="0" w:color="auto"/>
          </w:divBdr>
        </w:div>
      </w:divsChild>
    </w:div>
    <w:div w:id="606929633">
      <w:bodyDiv w:val="1"/>
      <w:marLeft w:val="0"/>
      <w:marRight w:val="0"/>
      <w:marTop w:val="0"/>
      <w:marBottom w:val="0"/>
      <w:divBdr>
        <w:top w:val="none" w:sz="0" w:space="0" w:color="auto"/>
        <w:left w:val="none" w:sz="0" w:space="0" w:color="auto"/>
        <w:bottom w:val="none" w:sz="0" w:space="0" w:color="auto"/>
        <w:right w:val="none" w:sz="0" w:space="0" w:color="auto"/>
      </w:divBdr>
      <w:divsChild>
        <w:div w:id="235241085">
          <w:marLeft w:val="547"/>
          <w:marRight w:val="0"/>
          <w:marTop w:val="125"/>
          <w:marBottom w:val="0"/>
          <w:divBdr>
            <w:top w:val="none" w:sz="0" w:space="0" w:color="auto"/>
            <w:left w:val="none" w:sz="0" w:space="0" w:color="auto"/>
            <w:bottom w:val="none" w:sz="0" w:space="0" w:color="auto"/>
            <w:right w:val="none" w:sz="0" w:space="0" w:color="auto"/>
          </w:divBdr>
        </w:div>
        <w:div w:id="294257271">
          <w:marLeft w:val="547"/>
          <w:marRight w:val="0"/>
          <w:marTop w:val="125"/>
          <w:marBottom w:val="0"/>
          <w:divBdr>
            <w:top w:val="none" w:sz="0" w:space="0" w:color="auto"/>
            <w:left w:val="none" w:sz="0" w:space="0" w:color="auto"/>
            <w:bottom w:val="none" w:sz="0" w:space="0" w:color="auto"/>
            <w:right w:val="none" w:sz="0" w:space="0" w:color="auto"/>
          </w:divBdr>
        </w:div>
        <w:div w:id="487869560">
          <w:marLeft w:val="547"/>
          <w:marRight w:val="0"/>
          <w:marTop w:val="125"/>
          <w:marBottom w:val="0"/>
          <w:divBdr>
            <w:top w:val="none" w:sz="0" w:space="0" w:color="auto"/>
            <w:left w:val="none" w:sz="0" w:space="0" w:color="auto"/>
            <w:bottom w:val="none" w:sz="0" w:space="0" w:color="auto"/>
            <w:right w:val="none" w:sz="0" w:space="0" w:color="auto"/>
          </w:divBdr>
        </w:div>
        <w:div w:id="766735886">
          <w:marLeft w:val="547"/>
          <w:marRight w:val="0"/>
          <w:marTop w:val="125"/>
          <w:marBottom w:val="0"/>
          <w:divBdr>
            <w:top w:val="none" w:sz="0" w:space="0" w:color="auto"/>
            <w:left w:val="none" w:sz="0" w:space="0" w:color="auto"/>
            <w:bottom w:val="none" w:sz="0" w:space="0" w:color="auto"/>
            <w:right w:val="none" w:sz="0" w:space="0" w:color="auto"/>
          </w:divBdr>
        </w:div>
        <w:div w:id="1432776604">
          <w:marLeft w:val="547"/>
          <w:marRight w:val="0"/>
          <w:marTop w:val="125"/>
          <w:marBottom w:val="0"/>
          <w:divBdr>
            <w:top w:val="none" w:sz="0" w:space="0" w:color="auto"/>
            <w:left w:val="none" w:sz="0" w:space="0" w:color="auto"/>
            <w:bottom w:val="none" w:sz="0" w:space="0" w:color="auto"/>
            <w:right w:val="none" w:sz="0" w:space="0" w:color="auto"/>
          </w:divBdr>
        </w:div>
        <w:div w:id="1607493600">
          <w:marLeft w:val="547"/>
          <w:marRight w:val="0"/>
          <w:marTop w:val="125"/>
          <w:marBottom w:val="0"/>
          <w:divBdr>
            <w:top w:val="none" w:sz="0" w:space="0" w:color="auto"/>
            <w:left w:val="none" w:sz="0" w:space="0" w:color="auto"/>
            <w:bottom w:val="none" w:sz="0" w:space="0" w:color="auto"/>
            <w:right w:val="none" w:sz="0" w:space="0" w:color="auto"/>
          </w:divBdr>
        </w:div>
      </w:divsChild>
    </w:div>
    <w:div w:id="738869728">
      <w:bodyDiv w:val="1"/>
      <w:marLeft w:val="0"/>
      <w:marRight w:val="0"/>
      <w:marTop w:val="0"/>
      <w:marBottom w:val="0"/>
      <w:divBdr>
        <w:top w:val="none" w:sz="0" w:space="0" w:color="auto"/>
        <w:left w:val="none" w:sz="0" w:space="0" w:color="auto"/>
        <w:bottom w:val="none" w:sz="0" w:space="0" w:color="auto"/>
        <w:right w:val="none" w:sz="0" w:space="0" w:color="auto"/>
      </w:divBdr>
      <w:divsChild>
        <w:div w:id="61485355">
          <w:marLeft w:val="806"/>
          <w:marRight w:val="0"/>
          <w:marTop w:val="0"/>
          <w:marBottom w:val="0"/>
          <w:divBdr>
            <w:top w:val="none" w:sz="0" w:space="0" w:color="auto"/>
            <w:left w:val="none" w:sz="0" w:space="0" w:color="auto"/>
            <w:bottom w:val="none" w:sz="0" w:space="0" w:color="auto"/>
            <w:right w:val="none" w:sz="0" w:space="0" w:color="auto"/>
          </w:divBdr>
        </w:div>
        <w:div w:id="1101416044">
          <w:marLeft w:val="806"/>
          <w:marRight w:val="0"/>
          <w:marTop w:val="0"/>
          <w:marBottom w:val="0"/>
          <w:divBdr>
            <w:top w:val="none" w:sz="0" w:space="0" w:color="auto"/>
            <w:left w:val="none" w:sz="0" w:space="0" w:color="auto"/>
            <w:bottom w:val="none" w:sz="0" w:space="0" w:color="auto"/>
            <w:right w:val="none" w:sz="0" w:space="0" w:color="auto"/>
          </w:divBdr>
        </w:div>
        <w:div w:id="1560827003">
          <w:marLeft w:val="806"/>
          <w:marRight w:val="0"/>
          <w:marTop w:val="0"/>
          <w:marBottom w:val="0"/>
          <w:divBdr>
            <w:top w:val="none" w:sz="0" w:space="0" w:color="auto"/>
            <w:left w:val="none" w:sz="0" w:space="0" w:color="auto"/>
            <w:bottom w:val="none" w:sz="0" w:space="0" w:color="auto"/>
            <w:right w:val="none" w:sz="0" w:space="0" w:color="auto"/>
          </w:divBdr>
        </w:div>
        <w:div w:id="1576864628">
          <w:marLeft w:val="806"/>
          <w:marRight w:val="0"/>
          <w:marTop w:val="0"/>
          <w:marBottom w:val="0"/>
          <w:divBdr>
            <w:top w:val="none" w:sz="0" w:space="0" w:color="auto"/>
            <w:left w:val="none" w:sz="0" w:space="0" w:color="auto"/>
            <w:bottom w:val="none" w:sz="0" w:space="0" w:color="auto"/>
            <w:right w:val="none" w:sz="0" w:space="0" w:color="auto"/>
          </w:divBdr>
        </w:div>
        <w:div w:id="1759516046">
          <w:marLeft w:val="806"/>
          <w:marRight w:val="0"/>
          <w:marTop w:val="0"/>
          <w:marBottom w:val="0"/>
          <w:divBdr>
            <w:top w:val="none" w:sz="0" w:space="0" w:color="auto"/>
            <w:left w:val="none" w:sz="0" w:space="0" w:color="auto"/>
            <w:bottom w:val="none" w:sz="0" w:space="0" w:color="auto"/>
            <w:right w:val="none" w:sz="0" w:space="0" w:color="auto"/>
          </w:divBdr>
        </w:div>
        <w:div w:id="2076006461">
          <w:marLeft w:val="806"/>
          <w:marRight w:val="0"/>
          <w:marTop w:val="0"/>
          <w:marBottom w:val="0"/>
          <w:divBdr>
            <w:top w:val="none" w:sz="0" w:space="0" w:color="auto"/>
            <w:left w:val="none" w:sz="0" w:space="0" w:color="auto"/>
            <w:bottom w:val="none" w:sz="0" w:space="0" w:color="auto"/>
            <w:right w:val="none" w:sz="0" w:space="0" w:color="auto"/>
          </w:divBdr>
        </w:div>
      </w:divsChild>
    </w:div>
    <w:div w:id="758064451">
      <w:bodyDiv w:val="1"/>
      <w:marLeft w:val="0"/>
      <w:marRight w:val="0"/>
      <w:marTop w:val="0"/>
      <w:marBottom w:val="0"/>
      <w:divBdr>
        <w:top w:val="none" w:sz="0" w:space="0" w:color="auto"/>
        <w:left w:val="none" w:sz="0" w:space="0" w:color="auto"/>
        <w:bottom w:val="none" w:sz="0" w:space="0" w:color="auto"/>
        <w:right w:val="none" w:sz="0" w:space="0" w:color="auto"/>
      </w:divBdr>
    </w:div>
    <w:div w:id="965087890">
      <w:bodyDiv w:val="1"/>
      <w:marLeft w:val="0"/>
      <w:marRight w:val="0"/>
      <w:marTop w:val="0"/>
      <w:marBottom w:val="0"/>
      <w:divBdr>
        <w:top w:val="none" w:sz="0" w:space="0" w:color="auto"/>
        <w:left w:val="none" w:sz="0" w:space="0" w:color="auto"/>
        <w:bottom w:val="none" w:sz="0" w:space="0" w:color="auto"/>
        <w:right w:val="none" w:sz="0" w:space="0" w:color="auto"/>
      </w:divBdr>
      <w:divsChild>
        <w:div w:id="485900043">
          <w:marLeft w:val="547"/>
          <w:marRight w:val="0"/>
          <w:marTop w:val="106"/>
          <w:marBottom w:val="0"/>
          <w:divBdr>
            <w:top w:val="none" w:sz="0" w:space="0" w:color="auto"/>
            <w:left w:val="none" w:sz="0" w:space="0" w:color="auto"/>
            <w:bottom w:val="none" w:sz="0" w:space="0" w:color="auto"/>
            <w:right w:val="none" w:sz="0" w:space="0" w:color="auto"/>
          </w:divBdr>
        </w:div>
        <w:div w:id="573588903">
          <w:marLeft w:val="1166"/>
          <w:marRight w:val="0"/>
          <w:marTop w:val="82"/>
          <w:marBottom w:val="0"/>
          <w:divBdr>
            <w:top w:val="none" w:sz="0" w:space="0" w:color="auto"/>
            <w:left w:val="none" w:sz="0" w:space="0" w:color="auto"/>
            <w:bottom w:val="none" w:sz="0" w:space="0" w:color="auto"/>
            <w:right w:val="none" w:sz="0" w:space="0" w:color="auto"/>
          </w:divBdr>
        </w:div>
        <w:div w:id="792675939">
          <w:marLeft w:val="1166"/>
          <w:marRight w:val="0"/>
          <w:marTop w:val="82"/>
          <w:marBottom w:val="0"/>
          <w:divBdr>
            <w:top w:val="none" w:sz="0" w:space="0" w:color="auto"/>
            <w:left w:val="none" w:sz="0" w:space="0" w:color="auto"/>
            <w:bottom w:val="none" w:sz="0" w:space="0" w:color="auto"/>
            <w:right w:val="none" w:sz="0" w:space="0" w:color="auto"/>
          </w:divBdr>
        </w:div>
        <w:div w:id="1673070502">
          <w:marLeft w:val="1166"/>
          <w:marRight w:val="0"/>
          <w:marTop w:val="82"/>
          <w:marBottom w:val="0"/>
          <w:divBdr>
            <w:top w:val="none" w:sz="0" w:space="0" w:color="auto"/>
            <w:left w:val="none" w:sz="0" w:space="0" w:color="auto"/>
            <w:bottom w:val="none" w:sz="0" w:space="0" w:color="auto"/>
            <w:right w:val="none" w:sz="0" w:space="0" w:color="auto"/>
          </w:divBdr>
        </w:div>
        <w:div w:id="2058770814">
          <w:marLeft w:val="547"/>
          <w:marRight w:val="0"/>
          <w:marTop w:val="106"/>
          <w:marBottom w:val="0"/>
          <w:divBdr>
            <w:top w:val="none" w:sz="0" w:space="0" w:color="auto"/>
            <w:left w:val="none" w:sz="0" w:space="0" w:color="auto"/>
            <w:bottom w:val="none" w:sz="0" w:space="0" w:color="auto"/>
            <w:right w:val="none" w:sz="0" w:space="0" w:color="auto"/>
          </w:divBdr>
        </w:div>
        <w:div w:id="1665938057">
          <w:marLeft w:val="1166"/>
          <w:marRight w:val="0"/>
          <w:marTop w:val="82"/>
          <w:marBottom w:val="0"/>
          <w:divBdr>
            <w:top w:val="none" w:sz="0" w:space="0" w:color="auto"/>
            <w:left w:val="none" w:sz="0" w:space="0" w:color="auto"/>
            <w:bottom w:val="none" w:sz="0" w:space="0" w:color="auto"/>
            <w:right w:val="none" w:sz="0" w:space="0" w:color="auto"/>
          </w:divBdr>
        </w:div>
      </w:divsChild>
    </w:div>
    <w:div w:id="996036792">
      <w:bodyDiv w:val="1"/>
      <w:marLeft w:val="0"/>
      <w:marRight w:val="0"/>
      <w:marTop w:val="0"/>
      <w:marBottom w:val="0"/>
      <w:divBdr>
        <w:top w:val="none" w:sz="0" w:space="0" w:color="auto"/>
        <w:left w:val="none" w:sz="0" w:space="0" w:color="auto"/>
        <w:bottom w:val="none" w:sz="0" w:space="0" w:color="auto"/>
        <w:right w:val="none" w:sz="0" w:space="0" w:color="auto"/>
      </w:divBdr>
      <w:divsChild>
        <w:div w:id="1222519809">
          <w:marLeft w:val="547"/>
          <w:marRight w:val="0"/>
          <w:marTop w:val="91"/>
          <w:marBottom w:val="120"/>
          <w:divBdr>
            <w:top w:val="none" w:sz="0" w:space="0" w:color="auto"/>
            <w:left w:val="none" w:sz="0" w:space="0" w:color="auto"/>
            <w:bottom w:val="none" w:sz="0" w:space="0" w:color="auto"/>
            <w:right w:val="none" w:sz="0" w:space="0" w:color="auto"/>
          </w:divBdr>
        </w:div>
        <w:div w:id="1114327190">
          <w:marLeft w:val="1166"/>
          <w:marRight w:val="0"/>
          <w:marTop w:val="77"/>
          <w:marBottom w:val="0"/>
          <w:divBdr>
            <w:top w:val="none" w:sz="0" w:space="0" w:color="auto"/>
            <w:left w:val="none" w:sz="0" w:space="0" w:color="auto"/>
            <w:bottom w:val="none" w:sz="0" w:space="0" w:color="auto"/>
            <w:right w:val="none" w:sz="0" w:space="0" w:color="auto"/>
          </w:divBdr>
        </w:div>
      </w:divsChild>
    </w:div>
    <w:div w:id="1384526683">
      <w:bodyDiv w:val="1"/>
      <w:marLeft w:val="0"/>
      <w:marRight w:val="0"/>
      <w:marTop w:val="0"/>
      <w:marBottom w:val="0"/>
      <w:divBdr>
        <w:top w:val="none" w:sz="0" w:space="0" w:color="auto"/>
        <w:left w:val="none" w:sz="0" w:space="0" w:color="auto"/>
        <w:bottom w:val="none" w:sz="0" w:space="0" w:color="auto"/>
        <w:right w:val="none" w:sz="0" w:space="0" w:color="auto"/>
      </w:divBdr>
      <w:divsChild>
        <w:div w:id="1828014648">
          <w:marLeft w:val="547"/>
          <w:marRight w:val="0"/>
          <w:marTop w:val="91"/>
          <w:marBottom w:val="120"/>
          <w:divBdr>
            <w:top w:val="none" w:sz="0" w:space="0" w:color="auto"/>
            <w:left w:val="none" w:sz="0" w:space="0" w:color="auto"/>
            <w:bottom w:val="none" w:sz="0" w:space="0" w:color="auto"/>
            <w:right w:val="none" w:sz="0" w:space="0" w:color="auto"/>
          </w:divBdr>
        </w:div>
      </w:divsChild>
    </w:div>
    <w:div w:id="1483346748">
      <w:bodyDiv w:val="1"/>
      <w:marLeft w:val="0"/>
      <w:marRight w:val="0"/>
      <w:marTop w:val="0"/>
      <w:marBottom w:val="0"/>
      <w:divBdr>
        <w:top w:val="none" w:sz="0" w:space="0" w:color="auto"/>
        <w:left w:val="none" w:sz="0" w:space="0" w:color="auto"/>
        <w:bottom w:val="none" w:sz="0" w:space="0" w:color="auto"/>
        <w:right w:val="none" w:sz="0" w:space="0" w:color="auto"/>
      </w:divBdr>
    </w:div>
    <w:div w:id="1609658568">
      <w:bodyDiv w:val="1"/>
      <w:marLeft w:val="0"/>
      <w:marRight w:val="0"/>
      <w:marTop w:val="0"/>
      <w:marBottom w:val="0"/>
      <w:divBdr>
        <w:top w:val="none" w:sz="0" w:space="0" w:color="auto"/>
        <w:left w:val="none" w:sz="0" w:space="0" w:color="auto"/>
        <w:bottom w:val="none" w:sz="0" w:space="0" w:color="auto"/>
        <w:right w:val="none" w:sz="0" w:space="0" w:color="auto"/>
      </w:divBdr>
      <w:divsChild>
        <w:div w:id="1156993989">
          <w:marLeft w:val="547"/>
          <w:marRight w:val="0"/>
          <w:marTop w:val="91"/>
          <w:marBottom w:val="120"/>
          <w:divBdr>
            <w:top w:val="none" w:sz="0" w:space="0" w:color="auto"/>
            <w:left w:val="none" w:sz="0" w:space="0" w:color="auto"/>
            <w:bottom w:val="none" w:sz="0" w:space="0" w:color="auto"/>
            <w:right w:val="none" w:sz="0" w:space="0" w:color="auto"/>
          </w:divBdr>
        </w:div>
      </w:divsChild>
    </w:div>
    <w:div w:id="1637224382">
      <w:bodyDiv w:val="1"/>
      <w:marLeft w:val="0"/>
      <w:marRight w:val="0"/>
      <w:marTop w:val="0"/>
      <w:marBottom w:val="0"/>
      <w:divBdr>
        <w:top w:val="none" w:sz="0" w:space="0" w:color="auto"/>
        <w:left w:val="none" w:sz="0" w:space="0" w:color="auto"/>
        <w:bottom w:val="none" w:sz="0" w:space="0" w:color="auto"/>
        <w:right w:val="none" w:sz="0" w:space="0" w:color="auto"/>
      </w:divBdr>
      <w:divsChild>
        <w:div w:id="1480074868">
          <w:marLeft w:val="547"/>
          <w:marRight w:val="0"/>
          <w:marTop w:val="106"/>
          <w:marBottom w:val="0"/>
          <w:divBdr>
            <w:top w:val="none" w:sz="0" w:space="0" w:color="auto"/>
            <w:left w:val="none" w:sz="0" w:space="0" w:color="auto"/>
            <w:bottom w:val="none" w:sz="0" w:space="0" w:color="auto"/>
            <w:right w:val="none" w:sz="0" w:space="0" w:color="auto"/>
          </w:divBdr>
        </w:div>
        <w:div w:id="1419716475">
          <w:marLeft w:val="1166"/>
          <w:marRight w:val="0"/>
          <w:marTop w:val="82"/>
          <w:marBottom w:val="0"/>
          <w:divBdr>
            <w:top w:val="none" w:sz="0" w:space="0" w:color="auto"/>
            <w:left w:val="none" w:sz="0" w:space="0" w:color="auto"/>
            <w:bottom w:val="none" w:sz="0" w:space="0" w:color="auto"/>
            <w:right w:val="none" w:sz="0" w:space="0" w:color="auto"/>
          </w:divBdr>
        </w:div>
        <w:div w:id="605191946">
          <w:marLeft w:val="1166"/>
          <w:marRight w:val="0"/>
          <w:marTop w:val="82"/>
          <w:marBottom w:val="0"/>
          <w:divBdr>
            <w:top w:val="none" w:sz="0" w:space="0" w:color="auto"/>
            <w:left w:val="none" w:sz="0" w:space="0" w:color="auto"/>
            <w:bottom w:val="none" w:sz="0" w:space="0" w:color="auto"/>
            <w:right w:val="none" w:sz="0" w:space="0" w:color="auto"/>
          </w:divBdr>
        </w:div>
        <w:div w:id="1040592955">
          <w:marLeft w:val="1166"/>
          <w:marRight w:val="0"/>
          <w:marTop w:val="82"/>
          <w:marBottom w:val="0"/>
          <w:divBdr>
            <w:top w:val="none" w:sz="0" w:space="0" w:color="auto"/>
            <w:left w:val="none" w:sz="0" w:space="0" w:color="auto"/>
            <w:bottom w:val="none" w:sz="0" w:space="0" w:color="auto"/>
            <w:right w:val="none" w:sz="0" w:space="0" w:color="auto"/>
          </w:divBdr>
        </w:div>
        <w:div w:id="1640453236">
          <w:marLeft w:val="547"/>
          <w:marRight w:val="0"/>
          <w:marTop w:val="106"/>
          <w:marBottom w:val="0"/>
          <w:divBdr>
            <w:top w:val="none" w:sz="0" w:space="0" w:color="auto"/>
            <w:left w:val="none" w:sz="0" w:space="0" w:color="auto"/>
            <w:bottom w:val="none" w:sz="0" w:space="0" w:color="auto"/>
            <w:right w:val="none" w:sz="0" w:space="0" w:color="auto"/>
          </w:divBdr>
        </w:div>
        <w:div w:id="179928602">
          <w:marLeft w:val="1166"/>
          <w:marRight w:val="0"/>
          <w:marTop w:val="82"/>
          <w:marBottom w:val="0"/>
          <w:divBdr>
            <w:top w:val="none" w:sz="0" w:space="0" w:color="auto"/>
            <w:left w:val="none" w:sz="0" w:space="0" w:color="auto"/>
            <w:bottom w:val="none" w:sz="0" w:space="0" w:color="auto"/>
            <w:right w:val="none" w:sz="0" w:space="0" w:color="auto"/>
          </w:divBdr>
        </w:div>
      </w:divsChild>
    </w:div>
    <w:div w:id="1677924703">
      <w:bodyDiv w:val="1"/>
      <w:marLeft w:val="0"/>
      <w:marRight w:val="0"/>
      <w:marTop w:val="0"/>
      <w:marBottom w:val="0"/>
      <w:divBdr>
        <w:top w:val="none" w:sz="0" w:space="0" w:color="auto"/>
        <w:left w:val="none" w:sz="0" w:space="0" w:color="auto"/>
        <w:bottom w:val="none" w:sz="0" w:space="0" w:color="auto"/>
        <w:right w:val="none" w:sz="0" w:space="0" w:color="auto"/>
      </w:divBdr>
      <w:divsChild>
        <w:div w:id="217016677">
          <w:marLeft w:val="547"/>
          <w:marRight w:val="0"/>
          <w:marTop w:val="86"/>
          <w:marBottom w:val="0"/>
          <w:divBdr>
            <w:top w:val="none" w:sz="0" w:space="0" w:color="auto"/>
            <w:left w:val="none" w:sz="0" w:space="0" w:color="auto"/>
            <w:bottom w:val="none" w:sz="0" w:space="0" w:color="auto"/>
            <w:right w:val="none" w:sz="0" w:space="0" w:color="auto"/>
          </w:divBdr>
        </w:div>
        <w:div w:id="1963420839">
          <w:marLeft w:val="1166"/>
          <w:marRight w:val="0"/>
          <w:marTop w:val="72"/>
          <w:marBottom w:val="0"/>
          <w:divBdr>
            <w:top w:val="none" w:sz="0" w:space="0" w:color="auto"/>
            <w:left w:val="none" w:sz="0" w:space="0" w:color="auto"/>
            <w:bottom w:val="none" w:sz="0" w:space="0" w:color="auto"/>
            <w:right w:val="none" w:sz="0" w:space="0" w:color="auto"/>
          </w:divBdr>
        </w:div>
        <w:div w:id="1920940482">
          <w:marLeft w:val="547"/>
          <w:marRight w:val="0"/>
          <w:marTop w:val="86"/>
          <w:marBottom w:val="0"/>
          <w:divBdr>
            <w:top w:val="none" w:sz="0" w:space="0" w:color="auto"/>
            <w:left w:val="none" w:sz="0" w:space="0" w:color="auto"/>
            <w:bottom w:val="none" w:sz="0" w:space="0" w:color="auto"/>
            <w:right w:val="none" w:sz="0" w:space="0" w:color="auto"/>
          </w:divBdr>
        </w:div>
      </w:divsChild>
    </w:div>
    <w:div w:id="1866598348">
      <w:bodyDiv w:val="1"/>
      <w:marLeft w:val="0"/>
      <w:marRight w:val="0"/>
      <w:marTop w:val="0"/>
      <w:marBottom w:val="0"/>
      <w:divBdr>
        <w:top w:val="none" w:sz="0" w:space="0" w:color="auto"/>
        <w:left w:val="none" w:sz="0" w:space="0" w:color="auto"/>
        <w:bottom w:val="none" w:sz="0" w:space="0" w:color="auto"/>
        <w:right w:val="none" w:sz="0" w:space="0" w:color="auto"/>
      </w:divBdr>
      <w:divsChild>
        <w:div w:id="74011619">
          <w:marLeft w:val="547"/>
          <w:marRight w:val="0"/>
          <w:marTop w:val="125"/>
          <w:marBottom w:val="0"/>
          <w:divBdr>
            <w:top w:val="none" w:sz="0" w:space="0" w:color="auto"/>
            <w:left w:val="none" w:sz="0" w:space="0" w:color="auto"/>
            <w:bottom w:val="none" w:sz="0" w:space="0" w:color="auto"/>
            <w:right w:val="none" w:sz="0" w:space="0" w:color="auto"/>
          </w:divBdr>
        </w:div>
        <w:div w:id="1070155260">
          <w:marLeft w:val="547"/>
          <w:marRight w:val="0"/>
          <w:marTop w:val="125"/>
          <w:marBottom w:val="0"/>
          <w:divBdr>
            <w:top w:val="none" w:sz="0" w:space="0" w:color="auto"/>
            <w:left w:val="none" w:sz="0" w:space="0" w:color="auto"/>
            <w:bottom w:val="none" w:sz="0" w:space="0" w:color="auto"/>
            <w:right w:val="none" w:sz="0" w:space="0" w:color="auto"/>
          </w:divBdr>
        </w:div>
        <w:div w:id="1098598474">
          <w:marLeft w:val="547"/>
          <w:marRight w:val="0"/>
          <w:marTop w:val="125"/>
          <w:marBottom w:val="0"/>
          <w:divBdr>
            <w:top w:val="none" w:sz="0" w:space="0" w:color="auto"/>
            <w:left w:val="none" w:sz="0" w:space="0" w:color="auto"/>
            <w:bottom w:val="none" w:sz="0" w:space="0" w:color="auto"/>
            <w:right w:val="none" w:sz="0" w:space="0" w:color="auto"/>
          </w:divBdr>
        </w:div>
        <w:div w:id="1351030835">
          <w:marLeft w:val="547"/>
          <w:marRight w:val="0"/>
          <w:marTop w:val="125"/>
          <w:marBottom w:val="0"/>
          <w:divBdr>
            <w:top w:val="none" w:sz="0" w:space="0" w:color="auto"/>
            <w:left w:val="none" w:sz="0" w:space="0" w:color="auto"/>
            <w:bottom w:val="none" w:sz="0" w:space="0" w:color="auto"/>
            <w:right w:val="none" w:sz="0" w:space="0" w:color="auto"/>
          </w:divBdr>
        </w:div>
        <w:div w:id="1616716310">
          <w:marLeft w:val="547"/>
          <w:marRight w:val="0"/>
          <w:marTop w:val="125"/>
          <w:marBottom w:val="0"/>
          <w:divBdr>
            <w:top w:val="none" w:sz="0" w:space="0" w:color="auto"/>
            <w:left w:val="none" w:sz="0" w:space="0" w:color="auto"/>
            <w:bottom w:val="none" w:sz="0" w:space="0" w:color="auto"/>
            <w:right w:val="none" w:sz="0" w:space="0" w:color="auto"/>
          </w:divBdr>
        </w:div>
        <w:div w:id="1773360484">
          <w:marLeft w:val="547"/>
          <w:marRight w:val="0"/>
          <w:marTop w:val="125"/>
          <w:marBottom w:val="0"/>
          <w:divBdr>
            <w:top w:val="none" w:sz="0" w:space="0" w:color="auto"/>
            <w:left w:val="none" w:sz="0" w:space="0" w:color="auto"/>
            <w:bottom w:val="none" w:sz="0" w:space="0" w:color="auto"/>
            <w:right w:val="none" w:sz="0" w:space="0" w:color="auto"/>
          </w:divBdr>
        </w:div>
      </w:divsChild>
    </w:div>
    <w:div w:id="1909342558">
      <w:bodyDiv w:val="1"/>
      <w:marLeft w:val="0"/>
      <w:marRight w:val="0"/>
      <w:marTop w:val="0"/>
      <w:marBottom w:val="0"/>
      <w:divBdr>
        <w:top w:val="none" w:sz="0" w:space="0" w:color="auto"/>
        <w:left w:val="none" w:sz="0" w:space="0" w:color="auto"/>
        <w:bottom w:val="none" w:sz="0" w:space="0" w:color="auto"/>
        <w:right w:val="none" w:sz="0" w:space="0" w:color="auto"/>
      </w:divBdr>
      <w:divsChild>
        <w:div w:id="2146241643">
          <w:marLeft w:val="547"/>
          <w:marRight w:val="0"/>
          <w:marTop w:val="86"/>
          <w:marBottom w:val="0"/>
          <w:divBdr>
            <w:top w:val="none" w:sz="0" w:space="0" w:color="auto"/>
            <w:left w:val="none" w:sz="0" w:space="0" w:color="auto"/>
            <w:bottom w:val="none" w:sz="0" w:space="0" w:color="auto"/>
            <w:right w:val="none" w:sz="0" w:space="0" w:color="auto"/>
          </w:divBdr>
        </w:div>
      </w:divsChild>
    </w:div>
    <w:div w:id="2005356729">
      <w:bodyDiv w:val="1"/>
      <w:marLeft w:val="0"/>
      <w:marRight w:val="0"/>
      <w:marTop w:val="0"/>
      <w:marBottom w:val="0"/>
      <w:divBdr>
        <w:top w:val="none" w:sz="0" w:space="0" w:color="auto"/>
        <w:left w:val="none" w:sz="0" w:space="0" w:color="auto"/>
        <w:bottom w:val="none" w:sz="0" w:space="0" w:color="auto"/>
        <w:right w:val="none" w:sz="0" w:space="0" w:color="auto"/>
      </w:divBdr>
      <w:divsChild>
        <w:div w:id="1889300493">
          <w:marLeft w:val="547"/>
          <w:marRight w:val="0"/>
          <w:marTop w:val="106"/>
          <w:marBottom w:val="0"/>
          <w:divBdr>
            <w:top w:val="none" w:sz="0" w:space="0" w:color="auto"/>
            <w:left w:val="none" w:sz="0" w:space="0" w:color="auto"/>
            <w:bottom w:val="none" w:sz="0" w:space="0" w:color="auto"/>
            <w:right w:val="none" w:sz="0" w:space="0" w:color="auto"/>
          </w:divBdr>
        </w:div>
        <w:div w:id="1554269535">
          <w:marLeft w:val="1166"/>
          <w:marRight w:val="0"/>
          <w:marTop w:val="82"/>
          <w:marBottom w:val="0"/>
          <w:divBdr>
            <w:top w:val="none" w:sz="0" w:space="0" w:color="auto"/>
            <w:left w:val="none" w:sz="0" w:space="0" w:color="auto"/>
            <w:bottom w:val="none" w:sz="0" w:space="0" w:color="auto"/>
            <w:right w:val="none" w:sz="0" w:space="0" w:color="auto"/>
          </w:divBdr>
        </w:div>
        <w:div w:id="1995640442">
          <w:marLeft w:val="1166"/>
          <w:marRight w:val="0"/>
          <w:marTop w:val="82"/>
          <w:marBottom w:val="0"/>
          <w:divBdr>
            <w:top w:val="none" w:sz="0" w:space="0" w:color="auto"/>
            <w:left w:val="none" w:sz="0" w:space="0" w:color="auto"/>
            <w:bottom w:val="none" w:sz="0" w:space="0" w:color="auto"/>
            <w:right w:val="none" w:sz="0" w:space="0" w:color="auto"/>
          </w:divBdr>
        </w:div>
        <w:div w:id="1686051824">
          <w:marLeft w:val="1166"/>
          <w:marRight w:val="0"/>
          <w:marTop w:val="82"/>
          <w:marBottom w:val="0"/>
          <w:divBdr>
            <w:top w:val="none" w:sz="0" w:space="0" w:color="auto"/>
            <w:left w:val="none" w:sz="0" w:space="0" w:color="auto"/>
            <w:bottom w:val="none" w:sz="0" w:space="0" w:color="auto"/>
            <w:right w:val="none" w:sz="0" w:space="0" w:color="auto"/>
          </w:divBdr>
        </w:div>
        <w:div w:id="1585263613">
          <w:marLeft w:val="547"/>
          <w:marRight w:val="0"/>
          <w:marTop w:val="106"/>
          <w:marBottom w:val="0"/>
          <w:divBdr>
            <w:top w:val="none" w:sz="0" w:space="0" w:color="auto"/>
            <w:left w:val="none" w:sz="0" w:space="0" w:color="auto"/>
            <w:bottom w:val="none" w:sz="0" w:space="0" w:color="auto"/>
            <w:right w:val="none" w:sz="0" w:space="0" w:color="auto"/>
          </w:divBdr>
        </w:div>
        <w:div w:id="339239866">
          <w:marLeft w:val="1166"/>
          <w:marRight w:val="0"/>
          <w:marTop w:val="82"/>
          <w:marBottom w:val="0"/>
          <w:divBdr>
            <w:top w:val="none" w:sz="0" w:space="0" w:color="auto"/>
            <w:left w:val="none" w:sz="0" w:space="0" w:color="auto"/>
            <w:bottom w:val="none" w:sz="0" w:space="0" w:color="auto"/>
            <w:right w:val="none" w:sz="0" w:space="0" w:color="auto"/>
          </w:divBdr>
        </w:div>
      </w:divsChild>
    </w:div>
    <w:div w:id="2070616914">
      <w:bodyDiv w:val="1"/>
      <w:marLeft w:val="0"/>
      <w:marRight w:val="0"/>
      <w:marTop w:val="0"/>
      <w:marBottom w:val="0"/>
      <w:divBdr>
        <w:top w:val="none" w:sz="0" w:space="0" w:color="auto"/>
        <w:left w:val="none" w:sz="0" w:space="0" w:color="auto"/>
        <w:bottom w:val="none" w:sz="0" w:space="0" w:color="auto"/>
        <w:right w:val="none" w:sz="0" w:space="0" w:color="auto"/>
      </w:divBdr>
      <w:divsChild>
        <w:div w:id="1354648895">
          <w:marLeft w:val="547"/>
          <w:marRight w:val="0"/>
          <w:marTop w:val="110"/>
          <w:marBottom w:val="0"/>
          <w:divBdr>
            <w:top w:val="none" w:sz="0" w:space="0" w:color="auto"/>
            <w:left w:val="none" w:sz="0" w:space="0" w:color="auto"/>
            <w:bottom w:val="none" w:sz="0" w:space="0" w:color="auto"/>
            <w:right w:val="none" w:sz="0" w:space="0" w:color="auto"/>
          </w:divBdr>
        </w:div>
        <w:div w:id="396443161">
          <w:marLeft w:val="547"/>
          <w:marRight w:val="0"/>
          <w:marTop w:val="110"/>
          <w:marBottom w:val="0"/>
          <w:divBdr>
            <w:top w:val="none" w:sz="0" w:space="0" w:color="auto"/>
            <w:left w:val="none" w:sz="0" w:space="0" w:color="auto"/>
            <w:bottom w:val="none" w:sz="0" w:space="0" w:color="auto"/>
            <w:right w:val="none" w:sz="0" w:space="0" w:color="auto"/>
          </w:divBdr>
        </w:div>
        <w:div w:id="1497333350">
          <w:marLeft w:val="547"/>
          <w:marRight w:val="0"/>
          <w:marTop w:val="110"/>
          <w:marBottom w:val="0"/>
          <w:divBdr>
            <w:top w:val="none" w:sz="0" w:space="0" w:color="auto"/>
            <w:left w:val="none" w:sz="0" w:space="0" w:color="auto"/>
            <w:bottom w:val="none" w:sz="0" w:space="0" w:color="auto"/>
            <w:right w:val="none" w:sz="0" w:space="0" w:color="auto"/>
          </w:divBdr>
        </w:div>
        <w:div w:id="1248273461">
          <w:marLeft w:val="547"/>
          <w:marRight w:val="0"/>
          <w:marTop w:val="110"/>
          <w:marBottom w:val="0"/>
          <w:divBdr>
            <w:top w:val="none" w:sz="0" w:space="0" w:color="auto"/>
            <w:left w:val="none" w:sz="0" w:space="0" w:color="auto"/>
            <w:bottom w:val="none" w:sz="0" w:space="0" w:color="auto"/>
            <w:right w:val="none" w:sz="0" w:space="0" w:color="auto"/>
          </w:divBdr>
        </w:div>
        <w:div w:id="510340903">
          <w:marLeft w:val="547"/>
          <w:marRight w:val="0"/>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7D16-EF62-45E4-A72B-9940628D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4062</Words>
  <Characters>23154</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27162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novembre</dc:creator>
  <cp:keywords/>
  <dc:description/>
  <cp:lastModifiedBy>giordani</cp:lastModifiedBy>
  <cp:revision>2</cp:revision>
  <cp:lastPrinted>2013-01-22T15:01:00Z</cp:lastPrinted>
  <dcterms:created xsi:type="dcterms:W3CDTF">2013-01-28T09:38:00Z</dcterms:created>
  <dcterms:modified xsi:type="dcterms:W3CDTF">2013-01-28T09:38:00Z</dcterms:modified>
</cp:coreProperties>
</file>